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B3CFAD">
      <w:pPr>
        <w:spacing w:line="360" w:lineRule="auto"/>
        <w:jc w:val="center"/>
        <w:rPr>
          <w:rFonts w:hint="eastAsia" w:ascii="宋体" w:hAnsi="宋体"/>
          <w:b/>
          <w:sz w:val="36"/>
          <w:szCs w:val="36"/>
        </w:rPr>
      </w:pPr>
      <w:r>
        <w:rPr>
          <w:rFonts w:hint="eastAsia" w:ascii="宋体" w:hAnsi="宋体"/>
          <w:b/>
          <w:sz w:val="36"/>
          <w:szCs w:val="36"/>
          <w:lang w:val="en-US" w:eastAsia="zh-CN"/>
        </w:rPr>
        <w:t>烟塔美化</w:t>
      </w:r>
      <w:r>
        <w:rPr>
          <w:rFonts w:hint="eastAsia" w:ascii="宋体" w:hAnsi="宋体"/>
          <w:b/>
          <w:sz w:val="36"/>
          <w:szCs w:val="36"/>
        </w:rPr>
        <w:t>彩绘施工工艺</w:t>
      </w:r>
    </w:p>
    <w:p w14:paraId="709FCB11">
      <w:pPr>
        <w:bidi w:val="0"/>
      </w:pPr>
    </w:p>
    <w:p w14:paraId="578693A5">
      <w:pPr>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烟塔</w:t>
      </w:r>
      <w:r>
        <w:rPr>
          <w:rFonts w:hint="eastAsia" w:ascii="宋体" w:hAnsi="宋体" w:eastAsia="宋体" w:cs="宋体"/>
          <w:sz w:val="24"/>
          <w:szCs w:val="24"/>
        </w:rPr>
        <w:t>作为全厂标志性建筑物，其外观及图案关系</w:t>
      </w:r>
      <w:r>
        <w:rPr>
          <w:rFonts w:hint="eastAsia" w:ascii="宋体" w:hAnsi="宋体" w:eastAsia="宋体" w:cs="宋体"/>
          <w:sz w:val="24"/>
          <w:szCs w:val="24"/>
          <w:lang w:val="en-US" w:eastAsia="zh-CN"/>
        </w:rPr>
        <w:t>企业</w:t>
      </w:r>
      <w:r>
        <w:rPr>
          <w:rFonts w:hint="eastAsia" w:ascii="宋体" w:hAnsi="宋体" w:eastAsia="宋体" w:cs="宋体"/>
          <w:sz w:val="24"/>
          <w:szCs w:val="24"/>
        </w:rPr>
        <w:t>形象；现一般</w:t>
      </w:r>
      <w:r>
        <w:rPr>
          <w:rFonts w:hint="eastAsia" w:ascii="宋体" w:hAnsi="宋体" w:eastAsia="宋体" w:cs="宋体"/>
          <w:sz w:val="24"/>
          <w:szCs w:val="24"/>
          <w:lang w:val="en-US" w:eastAsia="zh-CN"/>
        </w:rPr>
        <w:t>工矿企业的烟塔</w:t>
      </w:r>
      <w:r>
        <w:rPr>
          <w:rFonts w:hint="eastAsia" w:ascii="宋体" w:hAnsi="宋体" w:eastAsia="宋体" w:cs="宋体"/>
          <w:sz w:val="24"/>
          <w:szCs w:val="24"/>
        </w:rPr>
        <w:t>都会采取去工业化设计，要求建筑像民用建筑那样拥有建筑艺术性，体现出“</w:t>
      </w:r>
      <w:r>
        <w:rPr>
          <w:rFonts w:hint="eastAsia" w:ascii="宋体" w:hAnsi="宋体" w:eastAsia="宋体" w:cs="宋体"/>
          <w:sz w:val="24"/>
          <w:szCs w:val="24"/>
          <w:lang w:val="en-US" w:eastAsia="zh-CN"/>
        </w:rPr>
        <w:t>绿水青山、</w:t>
      </w:r>
      <w:r>
        <w:rPr>
          <w:rFonts w:hint="eastAsia" w:ascii="宋体" w:hAnsi="宋体" w:eastAsia="宋体" w:cs="宋体"/>
          <w:sz w:val="24"/>
          <w:szCs w:val="24"/>
        </w:rPr>
        <w:t>以人为本</w:t>
      </w:r>
      <w:r>
        <w:rPr>
          <w:rFonts w:hint="eastAsia" w:ascii="宋体" w:hAnsi="宋体" w:eastAsia="宋体" w:cs="宋体"/>
          <w:sz w:val="24"/>
          <w:szCs w:val="24"/>
          <w:lang w:eastAsia="zh-CN"/>
        </w:rPr>
        <w:t>、</w:t>
      </w:r>
      <w:r>
        <w:rPr>
          <w:rFonts w:hint="eastAsia" w:ascii="宋体" w:hAnsi="宋体" w:eastAsia="宋体" w:cs="宋体"/>
          <w:sz w:val="24"/>
          <w:szCs w:val="24"/>
        </w:rPr>
        <w:t>有文化内涵”的设计原则，与当地的自然生态环境、人文环境相融合。</w:t>
      </w:r>
    </w:p>
    <w:p w14:paraId="5EEF02B9">
      <w:pPr>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为了达到</w:t>
      </w:r>
      <w:r>
        <w:rPr>
          <w:rFonts w:hint="eastAsia" w:ascii="宋体" w:hAnsi="宋体" w:eastAsia="宋体" w:cs="宋体"/>
          <w:sz w:val="24"/>
          <w:szCs w:val="24"/>
          <w:lang w:val="en-US" w:eastAsia="zh-CN"/>
        </w:rPr>
        <w:t>工业漆</w:t>
      </w:r>
      <w:r>
        <w:rPr>
          <w:rFonts w:hint="eastAsia" w:ascii="宋体" w:hAnsi="宋体" w:eastAsia="宋体" w:cs="宋体"/>
          <w:sz w:val="24"/>
          <w:szCs w:val="24"/>
        </w:rPr>
        <w:t>涂装的彩绘效果及外表的美观，根据江苏宏亚高空工程有限公司施工经验，结合佐敦涂料的</w:t>
      </w:r>
      <w:r>
        <w:rPr>
          <w:rFonts w:hint="eastAsia" w:ascii="宋体" w:hAnsi="宋体" w:eastAsia="宋体" w:cs="宋体"/>
          <w:sz w:val="24"/>
          <w:szCs w:val="24"/>
          <w:lang w:val="en-US" w:eastAsia="zh-CN"/>
        </w:rPr>
        <w:t>防腐蚀、耐色衰等特点，</w:t>
      </w:r>
      <w:r>
        <w:rPr>
          <w:rFonts w:hint="eastAsia" w:ascii="宋体" w:hAnsi="宋体" w:eastAsia="宋体" w:cs="宋体"/>
          <w:sz w:val="24"/>
          <w:szCs w:val="24"/>
        </w:rPr>
        <w:t>在</w:t>
      </w:r>
      <w:r>
        <w:rPr>
          <w:rFonts w:hint="eastAsia" w:ascii="宋体" w:hAnsi="宋体" w:eastAsia="宋体" w:cs="宋体"/>
          <w:sz w:val="24"/>
          <w:szCs w:val="24"/>
          <w:lang w:val="en-US" w:eastAsia="zh-CN"/>
        </w:rPr>
        <w:t>工业</w:t>
      </w:r>
      <w:r>
        <w:rPr>
          <w:rFonts w:hint="eastAsia" w:ascii="宋体" w:hAnsi="宋体" w:eastAsia="宋体" w:cs="宋体"/>
          <w:sz w:val="24"/>
          <w:szCs w:val="24"/>
        </w:rPr>
        <w:t>漆施工中应严格按照以下要求进行操作。在本项目施工工艺中，将从以下几个方面给出控制原则：</w:t>
      </w:r>
    </w:p>
    <w:p w14:paraId="5E2D0F99">
      <w:pPr>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●涂层配套 </w:t>
      </w:r>
    </w:p>
    <w:p w14:paraId="709A80E1">
      <w:pPr>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●基层处理</w:t>
      </w:r>
    </w:p>
    <w:p w14:paraId="0882609B">
      <w:pPr>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●油漆的涂装方法及膜厚管理</w:t>
      </w:r>
    </w:p>
    <w:p w14:paraId="7C36AC8E">
      <w:pPr>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●施工质量控制</w:t>
      </w:r>
    </w:p>
    <w:p w14:paraId="7BBFAB32">
      <w:pPr>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●施工间隔管理</w:t>
      </w:r>
    </w:p>
    <w:p w14:paraId="3A460A72">
      <w:pPr>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●施工环境控制</w:t>
      </w:r>
    </w:p>
    <w:p w14:paraId="7D0F1D78">
      <w:pPr>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●油漆的储存使用</w:t>
      </w:r>
    </w:p>
    <w:p w14:paraId="1DDDCE50">
      <w:pPr>
        <w:bidi w:val="0"/>
        <w:spacing w:line="360" w:lineRule="auto"/>
        <w:ind w:firstLine="482" w:firstLineChars="200"/>
        <w:outlineLvl w:val="0"/>
        <w:rPr>
          <w:rFonts w:hint="eastAsia" w:ascii="宋体" w:hAnsi="宋体" w:eastAsia="宋体" w:cs="宋体"/>
          <w:b/>
          <w:bCs/>
          <w:sz w:val="24"/>
          <w:szCs w:val="24"/>
        </w:rPr>
      </w:pPr>
      <w:r>
        <w:rPr>
          <w:rFonts w:hint="eastAsia" w:ascii="宋体" w:hAnsi="宋体" w:eastAsia="宋体" w:cs="宋体"/>
          <w:b/>
          <w:bCs/>
          <w:sz w:val="24"/>
          <w:szCs w:val="24"/>
        </w:rPr>
        <w:t>一、涂层配套</w:t>
      </w:r>
    </w:p>
    <w:p w14:paraId="45C8E1C2">
      <w:pPr>
        <w:bidi w:val="0"/>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1.1质保五年配套</w:t>
      </w:r>
    </w:p>
    <w:tbl>
      <w:tblPr>
        <w:tblStyle w:val="16"/>
        <w:tblW w:w="8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5"/>
        <w:gridCol w:w="4282"/>
        <w:gridCol w:w="1325"/>
        <w:gridCol w:w="2225"/>
      </w:tblGrid>
      <w:tr w14:paraId="3387A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065" w:type="dxa"/>
            <w:vAlign w:val="center"/>
          </w:tcPr>
          <w:p w14:paraId="66FA465E">
            <w:pPr>
              <w:bidi w:val="0"/>
              <w:spacing w:line="360" w:lineRule="auto"/>
              <w:jc w:val="center"/>
              <w:rPr>
                <w:rFonts w:hint="eastAsia" w:ascii="宋体" w:hAnsi="宋体" w:eastAsia="宋体" w:cs="宋体"/>
                <w:sz w:val="21"/>
                <w:szCs w:val="21"/>
              </w:rPr>
            </w:pPr>
          </w:p>
        </w:tc>
        <w:tc>
          <w:tcPr>
            <w:tcW w:w="4282" w:type="dxa"/>
            <w:vAlign w:val="center"/>
          </w:tcPr>
          <w:p w14:paraId="50D88677">
            <w:pPr>
              <w:bidi w:val="0"/>
              <w:spacing w:line="360" w:lineRule="auto"/>
              <w:jc w:val="center"/>
              <w:rPr>
                <w:rFonts w:hint="eastAsia" w:ascii="宋体" w:hAnsi="宋体" w:eastAsia="宋体" w:cs="宋体"/>
                <w:sz w:val="21"/>
                <w:szCs w:val="21"/>
              </w:rPr>
            </w:pPr>
            <w:r>
              <w:rPr>
                <w:rFonts w:hint="eastAsia" w:ascii="宋体" w:hAnsi="宋体" w:eastAsia="宋体" w:cs="宋体"/>
                <w:sz w:val="21"/>
                <w:szCs w:val="21"/>
              </w:rPr>
              <w:t>油漆名称</w:t>
            </w:r>
          </w:p>
        </w:tc>
        <w:tc>
          <w:tcPr>
            <w:tcW w:w="1325" w:type="dxa"/>
            <w:vAlign w:val="center"/>
          </w:tcPr>
          <w:p w14:paraId="0CBD1FFA">
            <w:pPr>
              <w:bidi w:val="0"/>
              <w:spacing w:line="360" w:lineRule="auto"/>
              <w:jc w:val="center"/>
              <w:rPr>
                <w:rFonts w:hint="eastAsia" w:ascii="宋体" w:hAnsi="宋体" w:eastAsia="宋体" w:cs="宋体"/>
                <w:sz w:val="21"/>
                <w:szCs w:val="21"/>
              </w:rPr>
            </w:pPr>
            <w:r>
              <w:rPr>
                <w:rFonts w:hint="eastAsia" w:ascii="宋体" w:hAnsi="宋体" w:eastAsia="宋体" w:cs="宋体"/>
                <w:sz w:val="21"/>
                <w:szCs w:val="21"/>
              </w:rPr>
              <w:t>干膜厚度</w:t>
            </w:r>
          </w:p>
        </w:tc>
        <w:tc>
          <w:tcPr>
            <w:tcW w:w="2225" w:type="dxa"/>
            <w:vAlign w:val="center"/>
          </w:tcPr>
          <w:p w14:paraId="2168605C">
            <w:pPr>
              <w:bidi w:val="0"/>
              <w:spacing w:line="360" w:lineRule="auto"/>
              <w:jc w:val="center"/>
              <w:rPr>
                <w:rFonts w:hint="eastAsia" w:ascii="宋体" w:hAnsi="宋体" w:eastAsia="宋体" w:cs="宋体"/>
                <w:sz w:val="21"/>
                <w:szCs w:val="21"/>
              </w:rPr>
            </w:pPr>
            <w:r>
              <w:rPr>
                <w:rFonts w:hint="eastAsia" w:ascii="宋体" w:hAnsi="宋体" w:eastAsia="宋体" w:cs="宋体"/>
                <w:sz w:val="21"/>
                <w:szCs w:val="21"/>
              </w:rPr>
              <w:t>备注</w:t>
            </w:r>
          </w:p>
        </w:tc>
      </w:tr>
      <w:tr w14:paraId="17505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065" w:type="dxa"/>
            <w:vAlign w:val="center"/>
          </w:tcPr>
          <w:p w14:paraId="76FEB066">
            <w:pPr>
              <w:bidi w:val="0"/>
              <w:spacing w:line="360" w:lineRule="auto"/>
              <w:jc w:val="center"/>
              <w:rPr>
                <w:rFonts w:hint="eastAsia" w:ascii="宋体" w:hAnsi="宋体" w:eastAsia="宋体" w:cs="宋体"/>
                <w:sz w:val="21"/>
                <w:szCs w:val="21"/>
              </w:rPr>
            </w:pPr>
            <w:r>
              <w:rPr>
                <w:rFonts w:hint="eastAsia" w:ascii="宋体" w:hAnsi="宋体" w:eastAsia="宋体" w:cs="宋体"/>
                <w:sz w:val="21"/>
                <w:szCs w:val="21"/>
              </w:rPr>
              <w:t>第一层</w:t>
            </w:r>
          </w:p>
        </w:tc>
        <w:tc>
          <w:tcPr>
            <w:tcW w:w="4282" w:type="dxa"/>
            <w:vAlign w:val="center"/>
          </w:tcPr>
          <w:p w14:paraId="28CF44B8">
            <w:pPr>
              <w:bidi w:val="0"/>
              <w:spacing w:line="360" w:lineRule="auto"/>
              <w:jc w:val="center"/>
              <w:rPr>
                <w:rFonts w:hint="eastAsia" w:ascii="宋体" w:hAnsi="宋体" w:eastAsia="宋体" w:cs="宋体"/>
                <w:sz w:val="21"/>
                <w:szCs w:val="21"/>
              </w:rPr>
            </w:pPr>
            <w:r>
              <w:rPr>
                <w:rFonts w:hint="eastAsia" w:ascii="宋体" w:hAnsi="宋体" w:eastAsia="宋体" w:cs="宋体"/>
                <w:sz w:val="21"/>
                <w:szCs w:val="21"/>
              </w:rPr>
              <w:t>Penguard Clear Sealer 纯环氧封闭清漆</w:t>
            </w:r>
          </w:p>
        </w:tc>
        <w:tc>
          <w:tcPr>
            <w:tcW w:w="1325" w:type="dxa"/>
            <w:vAlign w:val="center"/>
          </w:tcPr>
          <w:p w14:paraId="55A31973">
            <w:pPr>
              <w:bidi w:val="0"/>
              <w:spacing w:line="36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8</w:t>
            </w:r>
            <w:r>
              <w:rPr>
                <w:rFonts w:hint="eastAsia" w:ascii="宋体" w:hAnsi="宋体" w:eastAsia="宋体" w:cs="宋体"/>
                <w:sz w:val="21"/>
                <w:szCs w:val="21"/>
              </w:rPr>
              <w:t>0微米</w:t>
            </w:r>
          </w:p>
        </w:tc>
        <w:tc>
          <w:tcPr>
            <w:tcW w:w="2225" w:type="dxa"/>
            <w:vAlign w:val="center"/>
          </w:tcPr>
          <w:p w14:paraId="71E6154E">
            <w:pPr>
              <w:bidi w:val="0"/>
              <w:spacing w:line="36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二</w:t>
            </w:r>
            <w:r>
              <w:rPr>
                <w:rFonts w:hint="eastAsia" w:ascii="宋体" w:hAnsi="宋体" w:eastAsia="宋体" w:cs="宋体"/>
                <w:sz w:val="21"/>
                <w:szCs w:val="21"/>
              </w:rPr>
              <w:t>道</w:t>
            </w:r>
          </w:p>
        </w:tc>
      </w:tr>
      <w:tr w14:paraId="5EA57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065" w:type="dxa"/>
            <w:vAlign w:val="center"/>
          </w:tcPr>
          <w:p w14:paraId="6F9F6E86">
            <w:pPr>
              <w:bidi w:val="0"/>
              <w:spacing w:line="360" w:lineRule="auto"/>
              <w:jc w:val="center"/>
              <w:rPr>
                <w:rFonts w:hint="eastAsia" w:ascii="宋体" w:hAnsi="宋体" w:eastAsia="宋体" w:cs="宋体"/>
                <w:sz w:val="21"/>
                <w:szCs w:val="21"/>
              </w:rPr>
            </w:pPr>
            <w:r>
              <w:rPr>
                <w:rFonts w:hint="eastAsia" w:ascii="宋体" w:hAnsi="宋体" w:eastAsia="宋体" w:cs="宋体"/>
                <w:sz w:val="21"/>
                <w:szCs w:val="21"/>
              </w:rPr>
              <w:t>第</w:t>
            </w:r>
            <w:r>
              <w:rPr>
                <w:rFonts w:hint="eastAsia" w:ascii="宋体" w:hAnsi="宋体" w:eastAsia="宋体" w:cs="宋体"/>
                <w:sz w:val="21"/>
                <w:szCs w:val="21"/>
                <w:lang w:val="en-US" w:eastAsia="zh-CN"/>
              </w:rPr>
              <w:t>二</w:t>
            </w:r>
            <w:r>
              <w:rPr>
                <w:rFonts w:hint="eastAsia" w:ascii="宋体" w:hAnsi="宋体" w:eastAsia="宋体" w:cs="宋体"/>
                <w:sz w:val="21"/>
                <w:szCs w:val="21"/>
              </w:rPr>
              <w:t>层</w:t>
            </w:r>
          </w:p>
        </w:tc>
        <w:tc>
          <w:tcPr>
            <w:tcW w:w="4282" w:type="dxa"/>
            <w:vAlign w:val="center"/>
          </w:tcPr>
          <w:p w14:paraId="1E336704">
            <w:pPr>
              <w:bidi w:val="0"/>
              <w:spacing w:line="360" w:lineRule="auto"/>
              <w:jc w:val="center"/>
              <w:rPr>
                <w:rFonts w:hint="eastAsia" w:ascii="宋体" w:hAnsi="宋体" w:eastAsia="宋体" w:cs="宋体"/>
                <w:sz w:val="21"/>
                <w:szCs w:val="21"/>
              </w:rPr>
            </w:pPr>
            <w:r>
              <w:rPr>
                <w:rFonts w:hint="eastAsia" w:ascii="宋体" w:hAnsi="宋体" w:eastAsia="宋体" w:cs="宋体"/>
                <w:sz w:val="21"/>
                <w:szCs w:val="21"/>
              </w:rPr>
              <w:t>Futura Classic丙烯酸聚氨酯面漆</w:t>
            </w:r>
          </w:p>
        </w:tc>
        <w:tc>
          <w:tcPr>
            <w:tcW w:w="1325" w:type="dxa"/>
            <w:vAlign w:val="center"/>
          </w:tcPr>
          <w:p w14:paraId="361950DA">
            <w:pPr>
              <w:bidi w:val="0"/>
              <w:spacing w:line="36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16</w:t>
            </w:r>
            <w:r>
              <w:rPr>
                <w:rFonts w:hint="eastAsia" w:ascii="宋体" w:hAnsi="宋体" w:eastAsia="宋体" w:cs="宋体"/>
                <w:sz w:val="21"/>
                <w:szCs w:val="21"/>
              </w:rPr>
              <w:t>0微米</w:t>
            </w:r>
          </w:p>
        </w:tc>
        <w:tc>
          <w:tcPr>
            <w:tcW w:w="2225" w:type="dxa"/>
            <w:vAlign w:val="center"/>
          </w:tcPr>
          <w:p w14:paraId="1DF64EBF">
            <w:pPr>
              <w:bidi w:val="0"/>
              <w:spacing w:line="360" w:lineRule="auto"/>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三</w:t>
            </w:r>
            <w:r>
              <w:rPr>
                <w:rFonts w:hint="eastAsia" w:ascii="宋体" w:hAnsi="宋体" w:eastAsia="宋体" w:cs="宋体"/>
                <w:sz w:val="21"/>
                <w:szCs w:val="21"/>
              </w:rPr>
              <w:t>道</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简易绘图</w:t>
            </w:r>
          </w:p>
        </w:tc>
      </w:tr>
      <w:tr w14:paraId="79022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065" w:type="dxa"/>
            <w:vAlign w:val="center"/>
          </w:tcPr>
          <w:p w14:paraId="1F0EBCF2">
            <w:pPr>
              <w:bidi w:val="0"/>
              <w:spacing w:line="360" w:lineRule="auto"/>
              <w:jc w:val="center"/>
              <w:rPr>
                <w:rFonts w:hint="eastAsia" w:ascii="宋体" w:hAnsi="宋体" w:eastAsia="宋体" w:cs="宋体"/>
                <w:sz w:val="21"/>
                <w:szCs w:val="21"/>
              </w:rPr>
            </w:pPr>
            <w:r>
              <w:rPr>
                <w:rFonts w:hint="eastAsia" w:ascii="宋体" w:hAnsi="宋体" w:eastAsia="宋体" w:cs="宋体"/>
                <w:sz w:val="21"/>
                <w:szCs w:val="21"/>
              </w:rPr>
              <w:t>第</w:t>
            </w:r>
            <w:r>
              <w:rPr>
                <w:rFonts w:hint="eastAsia" w:ascii="宋体" w:hAnsi="宋体" w:eastAsia="宋体" w:cs="宋体"/>
                <w:sz w:val="21"/>
                <w:szCs w:val="21"/>
                <w:lang w:val="en-US" w:eastAsia="zh-CN"/>
              </w:rPr>
              <w:t>三</w:t>
            </w:r>
            <w:r>
              <w:rPr>
                <w:rFonts w:hint="eastAsia" w:ascii="宋体" w:hAnsi="宋体" w:eastAsia="宋体" w:cs="宋体"/>
                <w:sz w:val="21"/>
                <w:szCs w:val="21"/>
              </w:rPr>
              <w:t>层</w:t>
            </w:r>
          </w:p>
        </w:tc>
        <w:tc>
          <w:tcPr>
            <w:tcW w:w="4282" w:type="dxa"/>
            <w:vAlign w:val="center"/>
          </w:tcPr>
          <w:p w14:paraId="1A7F15A9">
            <w:pPr>
              <w:bidi w:val="0"/>
              <w:spacing w:line="360" w:lineRule="auto"/>
              <w:jc w:val="center"/>
              <w:rPr>
                <w:rFonts w:hint="eastAsia" w:ascii="宋体" w:hAnsi="宋体" w:eastAsia="宋体" w:cs="宋体"/>
                <w:sz w:val="21"/>
                <w:szCs w:val="21"/>
              </w:rPr>
            </w:pPr>
            <w:r>
              <w:rPr>
                <w:rFonts w:hint="eastAsia" w:ascii="宋体" w:hAnsi="宋体" w:eastAsia="宋体" w:cs="宋体"/>
                <w:sz w:val="21"/>
                <w:szCs w:val="21"/>
              </w:rPr>
              <w:t>Jota AY30T</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快干丙烯酸漆30T</w:t>
            </w:r>
          </w:p>
        </w:tc>
        <w:tc>
          <w:tcPr>
            <w:tcW w:w="1325" w:type="dxa"/>
            <w:vAlign w:val="center"/>
          </w:tcPr>
          <w:p w14:paraId="75524C81">
            <w:pPr>
              <w:bidi w:val="0"/>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rPr>
              <w:t>无厚度要求</w:t>
            </w:r>
          </w:p>
        </w:tc>
        <w:tc>
          <w:tcPr>
            <w:tcW w:w="2225" w:type="dxa"/>
            <w:vAlign w:val="center"/>
          </w:tcPr>
          <w:p w14:paraId="4EB2E6F5">
            <w:pPr>
              <w:bidi w:val="0"/>
              <w:spacing w:line="360" w:lineRule="auto"/>
              <w:jc w:val="center"/>
              <w:rPr>
                <w:rFonts w:hint="eastAsia" w:ascii="宋体" w:hAnsi="宋体" w:eastAsia="宋体" w:cs="宋体"/>
                <w:sz w:val="21"/>
                <w:szCs w:val="21"/>
              </w:rPr>
            </w:pPr>
            <w:r>
              <w:rPr>
                <w:rFonts w:hint="eastAsia" w:ascii="宋体" w:hAnsi="宋体" w:eastAsia="宋体" w:cs="宋体"/>
                <w:sz w:val="21"/>
                <w:szCs w:val="21"/>
              </w:rPr>
              <w:t>彩绘专用单组份面漆</w:t>
            </w:r>
          </w:p>
        </w:tc>
      </w:tr>
    </w:tbl>
    <w:p w14:paraId="19E05B8A">
      <w:pPr>
        <w:bidi w:val="0"/>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1.2质保十五年配套</w:t>
      </w:r>
    </w:p>
    <w:tbl>
      <w:tblPr>
        <w:tblStyle w:val="16"/>
        <w:tblW w:w="8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5"/>
        <w:gridCol w:w="4282"/>
        <w:gridCol w:w="1325"/>
        <w:gridCol w:w="2225"/>
      </w:tblGrid>
      <w:tr w14:paraId="31868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065" w:type="dxa"/>
            <w:vAlign w:val="center"/>
          </w:tcPr>
          <w:p w14:paraId="4007BFBF">
            <w:pPr>
              <w:bidi w:val="0"/>
              <w:spacing w:line="360" w:lineRule="auto"/>
              <w:jc w:val="center"/>
              <w:rPr>
                <w:rFonts w:hint="eastAsia" w:ascii="宋体" w:hAnsi="宋体" w:eastAsia="宋体" w:cs="宋体"/>
                <w:sz w:val="21"/>
                <w:szCs w:val="21"/>
              </w:rPr>
            </w:pPr>
          </w:p>
        </w:tc>
        <w:tc>
          <w:tcPr>
            <w:tcW w:w="4282" w:type="dxa"/>
            <w:vAlign w:val="center"/>
          </w:tcPr>
          <w:p w14:paraId="00883008">
            <w:pPr>
              <w:bidi w:val="0"/>
              <w:spacing w:line="360" w:lineRule="auto"/>
              <w:jc w:val="center"/>
              <w:rPr>
                <w:rFonts w:hint="eastAsia" w:ascii="宋体" w:hAnsi="宋体" w:eastAsia="宋体" w:cs="宋体"/>
                <w:sz w:val="21"/>
                <w:szCs w:val="21"/>
              </w:rPr>
            </w:pPr>
            <w:r>
              <w:rPr>
                <w:rFonts w:hint="eastAsia" w:ascii="宋体" w:hAnsi="宋体" w:eastAsia="宋体" w:cs="宋体"/>
                <w:sz w:val="21"/>
                <w:szCs w:val="21"/>
              </w:rPr>
              <w:t>油漆名称</w:t>
            </w:r>
          </w:p>
        </w:tc>
        <w:tc>
          <w:tcPr>
            <w:tcW w:w="1325" w:type="dxa"/>
            <w:vAlign w:val="center"/>
          </w:tcPr>
          <w:p w14:paraId="40F3D9DD">
            <w:pPr>
              <w:bidi w:val="0"/>
              <w:spacing w:line="360" w:lineRule="auto"/>
              <w:jc w:val="center"/>
              <w:rPr>
                <w:rFonts w:hint="eastAsia" w:ascii="宋体" w:hAnsi="宋体" w:eastAsia="宋体" w:cs="宋体"/>
                <w:sz w:val="21"/>
                <w:szCs w:val="21"/>
              </w:rPr>
            </w:pPr>
            <w:r>
              <w:rPr>
                <w:rFonts w:hint="eastAsia" w:ascii="宋体" w:hAnsi="宋体" w:eastAsia="宋体" w:cs="宋体"/>
                <w:sz w:val="21"/>
                <w:szCs w:val="21"/>
              </w:rPr>
              <w:t>干膜厚度</w:t>
            </w:r>
          </w:p>
        </w:tc>
        <w:tc>
          <w:tcPr>
            <w:tcW w:w="2225" w:type="dxa"/>
            <w:vAlign w:val="center"/>
          </w:tcPr>
          <w:p w14:paraId="77554194">
            <w:pPr>
              <w:bidi w:val="0"/>
              <w:spacing w:line="360" w:lineRule="auto"/>
              <w:jc w:val="center"/>
              <w:rPr>
                <w:rFonts w:hint="eastAsia" w:ascii="宋体" w:hAnsi="宋体" w:eastAsia="宋体" w:cs="宋体"/>
                <w:sz w:val="21"/>
                <w:szCs w:val="21"/>
              </w:rPr>
            </w:pPr>
            <w:r>
              <w:rPr>
                <w:rFonts w:hint="eastAsia" w:ascii="宋体" w:hAnsi="宋体" w:eastAsia="宋体" w:cs="宋体"/>
                <w:sz w:val="21"/>
                <w:szCs w:val="21"/>
              </w:rPr>
              <w:t>备注</w:t>
            </w:r>
          </w:p>
        </w:tc>
      </w:tr>
      <w:tr w14:paraId="3BE7E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065" w:type="dxa"/>
            <w:vAlign w:val="center"/>
          </w:tcPr>
          <w:p w14:paraId="7AD94309">
            <w:pPr>
              <w:bidi w:val="0"/>
              <w:spacing w:line="360" w:lineRule="auto"/>
              <w:jc w:val="center"/>
              <w:rPr>
                <w:rFonts w:hint="eastAsia" w:ascii="宋体" w:hAnsi="宋体" w:eastAsia="宋体" w:cs="宋体"/>
                <w:sz w:val="21"/>
                <w:szCs w:val="21"/>
              </w:rPr>
            </w:pPr>
            <w:r>
              <w:rPr>
                <w:rFonts w:hint="eastAsia" w:ascii="宋体" w:hAnsi="宋体" w:eastAsia="宋体" w:cs="宋体"/>
                <w:sz w:val="21"/>
                <w:szCs w:val="21"/>
              </w:rPr>
              <w:t>第一层</w:t>
            </w:r>
          </w:p>
        </w:tc>
        <w:tc>
          <w:tcPr>
            <w:tcW w:w="4282" w:type="dxa"/>
            <w:vAlign w:val="center"/>
          </w:tcPr>
          <w:p w14:paraId="3348EEBE">
            <w:pPr>
              <w:bidi w:val="0"/>
              <w:spacing w:line="360" w:lineRule="auto"/>
              <w:jc w:val="center"/>
              <w:rPr>
                <w:rFonts w:hint="eastAsia" w:ascii="宋体" w:hAnsi="宋体" w:eastAsia="宋体" w:cs="宋体"/>
                <w:sz w:val="21"/>
                <w:szCs w:val="21"/>
              </w:rPr>
            </w:pPr>
            <w:r>
              <w:rPr>
                <w:rFonts w:hint="eastAsia" w:ascii="宋体" w:hAnsi="宋体" w:eastAsia="宋体" w:cs="宋体"/>
                <w:sz w:val="21"/>
                <w:szCs w:val="21"/>
              </w:rPr>
              <w:t>Penguard Clear Sealer 纯环氧封闭清漆</w:t>
            </w:r>
          </w:p>
        </w:tc>
        <w:tc>
          <w:tcPr>
            <w:tcW w:w="1325" w:type="dxa"/>
            <w:vAlign w:val="center"/>
          </w:tcPr>
          <w:p w14:paraId="0F624E94">
            <w:pPr>
              <w:bidi w:val="0"/>
              <w:spacing w:line="36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8</w:t>
            </w:r>
            <w:bookmarkStart w:id="0" w:name="_GoBack"/>
            <w:bookmarkEnd w:id="0"/>
            <w:r>
              <w:rPr>
                <w:rFonts w:hint="eastAsia" w:ascii="宋体" w:hAnsi="宋体" w:eastAsia="宋体" w:cs="宋体"/>
                <w:sz w:val="21"/>
                <w:szCs w:val="21"/>
              </w:rPr>
              <w:t>0微米</w:t>
            </w:r>
          </w:p>
        </w:tc>
        <w:tc>
          <w:tcPr>
            <w:tcW w:w="2225" w:type="dxa"/>
            <w:vAlign w:val="center"/>
          </w:tcPr>
          <w:p w14:paraId="7A6686D7">
            <w:pPr>
              <w:bidi w:val="0"/>
              <w:spacing w:line="36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二</w:t>
            </w:r>
            <w:r>
              <w:rPr>
                <w:rFonts w:hint="eastAsia" w:ascii="宋体" w:hAnsi="宋体" w:eastAsia="宋体" w:cs="宋体"/>
                <w:sz w:val="21"/>
                <w:szCs w:val="21"/>
              </w:rPr>
              <w:t>道</w:t>
            </w:r>
          </w:p>
        </w:tc>
      </w:tr>
      <w:tr w14:paraId="6EB38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065" w:type="dxa"/>
            <w:vAlign w:val="center"/>
          </w:tcPr>
          <w:p w14:paraId="1F7141C1">
            <w:pPr>
              <w:bidi w:val="0"/>
              <w:spacing w:line="360" w:lineRule="auto"/>
              <w:jc w:val="center"/>
              <w:rPr>
                <w:rFonts w:hint="eastAsia" w:ascii="宋体" w:hAnsi="宋体" w:eastAsia="宋体" w:cs="宋体"/>
                <w:sz w:val="21"/>
                <w:szCs w:val="21"/>
              </w:rPr>
            </w:pPr>
            <w:r>
              <w:rPr>
                <w:rFonts w:hint="eastAsia" w:ascii="宋体" w:hAnsi="宋体" w:eastAsia="宋体" w:cs="宋体"/>
                <w:sz w:val="21"/>
                <w:szCs w:val="21"/>
              </w:rPr>
              <w:t>第</w:t>
            </w:r>
            <w:r>
              <w:rPr>
                <w:rFonts w:hint="eastAsia" w:ascii="宋体" w:hAnsi="宋体" w:eastAsia="宋体" w:cs="宋体"/>
                <w:sz w:val="21"/>
                <w:szCs w:val="21"/>
                <w:lang w:val="en-US" w:eastAsia="zh-CN"/>
              </w:rPr>
              <w:t>三</w:t>
            </w:r>
            <w:r>
              <w:rPr>
                <w:rFonts w:hint="eastAsia" w:ascii="宋体" w:hAnsi="宋体" w:eastAsia="宋体" w:cs="宋体"/>
                <w:sz w:val="21"/>
                <w:szCs w:val="21"/>
              </w:rPr>
              <w:t>层</w:t>
            </w:r>
          </w:p>
        </w:tc>
        <w:tc>
          <w:tcPr>
            <w:tcW w:w="4282" w:type="dxa"/>
            <w:vAlign w:val="center"/>
          </w:tcPr>
          <w:p w14:paraId="264C79F4">
            <w:pPr>
              <w:bidi w:val="0"/>
              <w:spacing w:line="360" w:lineRule="auto"/>
              <w:jc w:val="center"/>
              <w:rPr>
                <w:rFonts w:hint="eastAsia" w:ascii="宋体" w:hAnsi="宋体" w:eastAsia="宋体" w:cs="宋体"/>
                <w:sz w:val="21"/>
                <w:szCs w:val="21"/>
              </w:rPr>
            </w:pPr>
            <w:r>
              <w:rPr>
                <w:rFonts w:hint="eastAsia" w:ascii="宋体" w:hAnsi="宋体" w:eastAsia="宋体" w:cs="宋体"/>
                <w:sz w:val="21"/>
                <w:szCs w:val="21"/>
              </w:rPr>
              <w:t>Hardtop One湿固化丙烯酸聚硅氧烷面漆</w:t>
            </w:r>
          </w:p>
        </w:tc>
        <w:tc>
          <w:tcPr>
            <w:tcW w:w="1325" w:type="dxa"/>
            <w:vAlign w:val="center"/>
          </w:tcPr>
          <w:p w14:paraId="1E556F70">
            <w:pPr>
              <w:bidi w:val="0"/>
              <w:spacing w:line="36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160</w:t>
            </w:r>
            <w:r>
              <w:rPr>
                <w:rFonts w:hint="eastAsia" w:ascii="宋体" w:hAnsi="宋体" w:eastAsia="宋体" w:cs="宋体"/>
                <w:sz w:val="21"/>
                <w:szCs w:val="21"/>
              </w:rPr>
              <w:t>微米</w:t>
            </w:r>
          </w:p>
        </w:tc>
        <w:tc>
          <w:tcPr>
            <w:tcW w:w="2225" w:type="dxa"/>
            <w:vAlign w:val="center"/>
          </w:tcPr>
          <w:p w14:paraId="61040E3E">
            <w:pPr>
              <w:bidi w:val="0"/>
              <w:spacing w:line="36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三</w:t>
            </w:r>
            <w:r>
              <w:rPr>
                <w:rFonts w:hint="eastAsia" w:ascii="宋体" w:hAnsi="宋体" w:eastAsia="宋体" w:cs="宋体"/>
                <w:sz w:val="21"/>
                <w:szCs w:val="21"/>
              </w:rPr>
              <w:t>道</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简易绘图</w:t>
            </w:r>
          </w:p>
        </w:tc>
      </w:tr>
      <w:tr w14:paraId="164C5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065" w:type="dxa"/>
            <w:vAlign w:val="center"/>
          </w:tcPr>
          <w:p w14:paraId="7C8CCC97">
            <w:pPr>
              <w:bidi w:val="0"/>
              <w:spacing w:line="360" w:lineRule="auto"/>
              <w:jc w:val="center"/>
              <w:rPr>
                <w:rFonts w:hint="eastAsia" w:ascii="宋体" w:hAnsi="宋体" w:eastAsia="宋体" w:cs="宋体"/>
                <w:sz w:val="21"/>
                <w:szCs w:val="21"/>
              </w:rPr>
            </w:pPr>
            <w:r>
              <w:rPr>
                <w:rFonts w:hint="eastAsia" w:ascii="宋体" w:hAnsi="宋体" w:eastAsia="宋体" w:cs="宋体"/>
                <w:sz w:val="21"/>
                <w:szCs w:val="21"/>
              </w:rPr>
              <w:t>第</w:t>
            </w:r>
            <w:r>
              <w:rPr>
                <w:rFonts w:hint="eastAsia" w:ascii="宋体" w:hAnsi="宋体" w:eastAsia="宋体" w:cs="宋体"/>
                <w:sz w:val="21"/>
                <w:szCs w:val="21"/>
                <w:lang w:val="en-US" w:eastAsia="zh-CN"/>
              </w:rPr>
              <w:t>三</w:t>
            </w:r>
            <w:r>
              <w:rPr>
                <w:rFonts w:hint="eastAsia" w:ascii="宋体" w:hAnsi="宋体" w:eastAsia="宋体" w:cs="宋体"/>
                <w:sz w:val="21"/>
                <w:szCs w:val="21"/>
              </w:rPr>
              <w:t>层</w:t>
            </w:r>
          </w:p>
        </w:tc>
        <w:tc>
          <w:tcPr>
            <w:tcW w:w="4282" w:type="dxa"/>
            <w:vAlign w:val="center"/>
          </w:tcPr>
          <w:p w14:paraId="316DF869">
            <w:pPr>
              <w:bidi w:val="0"/>
              <w:spacing w:line="360" w:lineRule="auto"/>
              <w:jc w:val="center"/>
              <w:rPr>
                <w:rFonts w:hint="eastAsia" w:ascii="宋体" w:hAnsi="宋体" w:eastAsia="宋体" w:cs="宋体"/>
                <w:sz w:val="21"/>
                <w:szCs w:val="21"/>
              </w:rPr>
            </w:pPr>
            <w:r>
              <w:rPr>
                <w:rFonts w:hint="eastAsia" w:ascii="宋体" w:hAnsi="宋体" w:eastAsia="宋体" w:cs="宋体"/>
                <w:sz w:val="21"/>
                <w:szCs w:val="21"/>
              </w:rPr>
              <w:t>Hardtop One湿固化丙烯酸聚硅氧烷面漆</w:t>
            </w:r>
          </w:p>
        </w:tc>
        <w:tc>
          <w:tcPr>
            <w:tcW w:w="1325" w:type="dxa"/>
            <w:vAlign w:val="center"/>
          </w:tcPr>
          <w:p w14:paraId="35A33C16">
            <w:pPr>
              <w:bidi w:val="0"/>
              <w:spacing w:line="360" w:lineRule="auto"/>
              <w:jc w:val="center"/>
              <w:rPr>
                <w:rFonts w:hint="eastAsia" w:ascii="宋体" w:hAnsi="宋体" w:eastAsia="宋体" w:cs="宋体"/>
                <w:sz w:val="21"/>
                <w:szCs w:val="21"/>
              </w:rPr>
            </w:pPr>
            <w:r>
              <w:rPr>
                <w:rFonts w:hint="eastAsia" w:ascii="宋体" w:hAnsi="宋体" w:eastAsia="宋体" w:cs="宋体"/>
                <w:sz w:val="21"/>
                <w:szCs w:val="21"/>
              </w:rPr>
              <w:t>无厚度要求</w:t>
            </w:r>
          </w:p>
        </w:tc>
        <w:tc>
          <w:tcPr>
            <w:tcW w:w="2225" w:type="dxa"/>
            <w:vAlign w:val="center"/>
          </w:tcPr>
          <w:p w14:paraId="519CB89E">
            <w:pPr>
              <w:bidi w:val="0"/>
              <w:spacing w:line="360" w:lineRule="auto"/>
              <w:jc w:val="center"/>
              <w:rPr>
                <w:rFonts w:hint="eastAsia" w:ascii="宋体" w:hAnsi="宋体" w:eastAsia="宋体" w:cs="宋体"/>
                <w:sz w:val="21"/>
                <w:szCs w:val="21"/>
              </w:rPr>
            </w:pPr>
            <w:r>
              <w:rPr>
                <w:rFonts w:hint="eastAsia" w:ascii="宋体" w:hAnsi="宋体" w:eastAsia="宋体" w:cs="宋体"/>
                <w:sz w:val="21"/>
                <w:szCs w:val="21"/>
              </w:rPr>
              <w:t>彩绘专用单组份面漆</w:t>
            </w:r>
          </w:p>
        </w:tc>
      </w:tr>
    </w:tbl>
    <w:p w14:paraId="7E0085F8">
      <w:pPr>
        <w:bidi w:val="0"/>
        <w:spacing w:line="360" w:lineRule="auto"/>
        <w:ind w:firstLine="482" w:firstLineChars="200"/>
        <w:outlineLvl w:val="0"/>
        <w:rPr>
          <w:rFonts w:hint="eastAsia" w:ascii="宋体" w:hAnsi="宋体" w:eastAsia="宋体" w:cs="宋体"/>
          <w:sz w:val="24"/>
          <w:szCs w:val="24"/>
        </w:rPr>
      </w:pPr>
      <w:r>
        <w:rPr>
          <w:rFonts w:hint="eastAsia" w:ascii="宋体" w:hAnsi="宋体" w:eastAsia="宋体" w:cs="宋体"/>
          <w:b/>
          <w:bCs/>
          <w:sz w:val="24"/>
          <w:szCs w:val="24"/>
        </w:rPr>
        <w:t>二、混凝土结构要求及表面处理</w:t>
      </w:r>
    </w:p>
    <w:p w14:paraId="04C4F522">
      <w:pPr>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2.1对不平整表面进行机械打磨，对模板接口缝错台打磨，打磨程度以平滑不露钢筋保护层为宜，模板接口错台打磨后达到平滑过渡为准。打磨后的砼表面达到基本平整。</w:t>
      </w:r>
    </w:p>
    <w:p w14:paraId="063F1C04">
      <w:pPr>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2.2清除脏物油污，确保墙面清洁平整、干燥。</w:t>
      </w:r>
    </w:p>
    <w:p w14:paraId="23B2617A">
      <w:pPr>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2.3除尘处理：对打磨后留在砼表面浮尘、杂物进行处理。</w:t>
      </w:r>
    </w:p>
    <w:p w14:paraId="300E708D">
      <w:pPr>
        <w:tabs>
          <w:tab w:val="left" w:pos="3465"/>
        </w:tabs>
        <w:spacing w:line="360" w:lineRule="auto"/>
        <w:ind w:firstLine="480" w:firstLineChars="200"/>
        <w:rPr>
          <w:rFonts w:hint="eastAsia" w:ascii="宋体" w:hAnsi="宋体" w:eastAsia="宋体" w:cs="宋体"/>
          <w:sz w:val="24"/>
        </w:rPr>
      </w:pPr>
      <w:r>
        <w:rPr>
          <w:rFonts w:hint="eastAsia" w:ascii="宋体" w:hAnsi="宋体" w:eastAsia="宋体" w:cs="宋体"/>
          <w:sz w:val="24"/>
        </w:rPr>
        <w:t>2.4对墙体进行防泛碱处理，使墙体的PH值降到10以下，这样的处理对涂料的耐久性起到重要的保护作用。</w:t>
      </w:r>
    </w:p>
    <w:p w14:paraId="370EC9CC">
      <w:pPr>
        <w:tabs>
          <w:tab w:val="left" w:pos="3465"/>
        </w:tabs>
        <w:spacing w:line="360" w:lineRule="auto"/>
        <w:ind w:firstLine="480" w:firstLineChars="200"/>
        <w:rPr>
          <w:rFonts w:hint="eastAsia" w:ascii="宋体" w:hAnsi="宋体" w:eastAsia="宋体" w:cs="宋体"/>
          <w:sz w:val="24"/>
        </w:rPr>
      </w:pPr>
      <w:r>
        <w:rPr>
          <w:rFonts w:hint="eastAsia" w:ascii="宋体" w:hAnsi="宋体" w:eastAsia="宋体" w:cs="宋体"/>
          <w:sz w:val="24"/>
        </w:rPr>
        <w:t>2.5墙体的干燥度，墙体20㎜内的含水率应小于15%，否则采用整体热处理措施。</w:t>
      </w:r>
    </w:p>
    <w:p w14:paraId="32183AC1">
      <w:pPr>
        <w:tabs>
          <w:tab w:val="left" w:pos="3465"/>
        </w:tabs>
        <w:spacing w:line="360" w:lineRule="auto"/>
        <w:ind w:firstLine="480" w:firstLineChars="200"/>
        <w:rPr>
          <w:rFonts w:hint="eastAsia" w:ascii="宋体" w:hAnsi="宋体" w:eastAsia="宋体" w:cs="宋体"/>
          <w:sz w:val="24"/>
        </w:rPr>
      </w:pPr>
      <w:r>
        <w:rPr>
          <w:rFonts w:hint="eastAsia" w:ascii="宋体" w:hAnsi="宋体" w:eastAsia="宋体" w:cs="宋体"/>
          <w:sz w:val="24"/>
        </w:rPr>
        <w:t>2.6对施工期自然环境的要求：气温须不低于5℃，湿度小于75%，雨天严禁施工。（包括雨前、雨后的24小时范围）</w:t>
      </w:r>
    </w:p>
    <w:p w14:paraId="44309363">
      <w:pPr>
        <w:tabs>
          <w:tab w:val="left" w:pos="3465"/>
        </w:tabs>
        <w:spacing w:line="360" w:lineRule="auto"/>
        <w:ind w:firstLine="480" w:firstLineChars="200"/>
        <w:rPr>
          <w:rFonts w:hint="eastAsia" w:ascii="宋体" w:hAnsi="宋体" w:eastAsia="宋体" w:cs="宋体"/>
          <w:sz w:val="24"/>
        </w:rPr>
      </w:pPr>
      <w:r>
        <w:rPr>
          <w:rFonts w:hint="eastAsia" w:ascii="宋体" w:hAnsi="宋体" w:eastAsia="宋体" w:cs="宋体"/>
          <w:sz w:val="24"/>
        </w:rPr>
        <w:t>2.7基础表面处理、修补</w:t>
      </w:r>
    </w:p>
    <w:p w14:paraId="64B1CD04">
      <w:pPr>
        <w:tabs>
          <w:tab w:val="left" w:pos="3465"/>
        </w:tabs>
        <w:spacing w:line="360" w:lineRule="auto"/>
        <w:ind w:firstLine="480" w:firstLineChars="200"/>
        <w:rPr>
          <w:rFonts w:hint="eastAsia" w:ascii="宋体" w:hAnsi="宋体" w:eastAsia="宋体" w:cs="宋体"/>
          <w:sz w:val="24"/>
        </w:rPr>
      </w:pPr>
      <w:r>
        <w:rPr>
          <w:rFonts w:hint="eastAsia" w:ascii="宋体" w:hAnsi="宋体" w:eastAsia="宋体" w:cs="宋体"/>
          <w:sz w:val="24"/>
        </w:rPr>
        <w:t>对壁筒较大较深孔洞的地方进行密实刮抹，同时保证基本平整，表面不留有明显的多功能修复砂浆混合物，使其完全达到涂刷底漆的标准。根据一次成型壁筒结合多功能修复砂浆混合物的性能，为避免修复料脱落，壁筒不可进行细薄及大面积刮抹。</w:t>
      </w:r>
    </w:p>
    <w:p w14:paraId="1670E5CC">
      <w:pPr>
        <w:bidi w:val="0"/>
        <w:ind w:firstLine="482" w:firstLineChars="200"/>
        <w:outlineLvl w:val="0"/>
        <w:rPr>
          <w:rFonts w:hint="eastAsia" w:ascii="宋体" w:hAnsi="宋体" w:eastAsia="宋体" w:cs="宋体"/>
          <w:b/>
          <w:bCs/>
          <w:sz w:val="24"/>
          <w:szCs w:val="24"/>
        </w:rPr>
      </w:pPr>
      <w:r>
        <w:rPr>
          <w:rFonts w:hint="eastAsia" w:ascii="宋体" w:hAnsi="宋体" w:eastAsia="宋体" w:cs="宋体"/>
          <w:b/>
          <w:bCs/>
          <w:sz w:val="24"/>
          <w:szCs w:val="24"/>
        </w:rPr>
        <w:t>三、油漆预涂装及涂装方法</w:t>
      </w:r>
    </w:p>
    <w:p w14:paraId="5AC76018">
      <w:pPr>
        <w:tabs>
          <w:tab w:val="left" w:pos="3465"/>
        </w:tabs>
        <w:spacing w:line="360" w:lineRule="auto"/>
        <w:ind w:firstLine="480" w:firstLineChars="200"/>
        <w:rPr>
          <w:rFonts w:hint="eastAsia" w:ascii="宋体" w:hAnsi="宋体" w:eastAsia="宋体" w:cs="宋体"/>
          <w:sz w:val="24"/>
        </w:rPr>
      </w:pPr>
      <w:r>
        <w:rPr>
          <w:rFonts w:hint="eastAsia" w:ascii="宋体" w:hAnsi="宋体"/>
          <w:sz w:val="24"/>
        </w:rPr>
        <w:t>3</w:t>
      </w:r>
      <w:r>
        <w:rPr>
          <w:rFonts w:hint="eastAsia" w:ascii="宋体" w:hAnsi="宋体" w:eastAsia="宋体" w:cs="宋体"/>
          <w:sz w:val="24"/>
        </w:rPr>
        <w:t>.1涂层施工</w:t>
      </w:r>
    </w:p>
    <w:p w14:paraId="3418E155">
      <w:pPr>
        <w:tabs>
          <w:tab w:val="left" w:pos="3465"/>
        </w:tabs>
        <w:spacing w:line="360" w:lineRule="auto"/>
        <w:ind w:firstLine="480" w:firstLineChars="200"/>
        <w:rPr>
          <w:rFonts w:hint="eastAsia" w:ascii="宋体" w:hAnsi="宋体" w:eastAsia="宋体" w:cs="宋体"/>
          <w:sz w:val="24"/>
        </w:rPr>
      </w:pPr>
      <w:r>
        <w:rPr>
          <w:rFonts w:hint="eastAsia" w:ascii="宋体" w:hAnsi="宋体" w:eastAsia="宋体" w:cs="宋体"/>
          <w:sz w:val="24"/>
        </w:rPr>
        <w:t>涂料的施工方法为滚涂。</w:t>
      </w:r>
    </w:p>
    <w:p w14:paraId="3FA7373E">
      <w:pPr>
        <w:tabs>
          <w:tab w:val="left" w:pos="3465"/>
        </w:tabs>
        <w:spacing w:line="360" w:lineRule="auto"/>
        <w:ind w:firstLine="480" w:firstLineChars="200"/>
        <w:rPr>
          <w:rFonts w:hint="eastAsia" w:ascii="宋体" w:hAnsi="宋体" w:eastAsia="宋体" w:cs="宋体"/>
          <w:sz w:val="24"/>
        </w:rPr>
      </w:pPr>
      <w:r>
        <w:rPr>
          <w:rFonts w:hint="eastAsia" w:ascii="宋体" w:hAnsi="宋体" w:eastAsia="宋体" w:cs="宋体"/>
          <w:sz w:val="24"/>
        </w:rPr>
        <w:t xml:space="preserve">防腐涂料施工时，筒壁和环境温度应大于＋5℃，对湿度无要求。 </w:t>
      </w:r>
    </w:p>
    <w:p w14:paraId="5A4B1999">
      <w:pPr>
        <w:tabs>
          <w:tab w:val="left" w:pos="3465"/>
        </w:tabs>
        <w:spacing w:line="360" w:lineRule="auto"/>
        <w:ind w:firstLine="480" w:firstLineChars="200"/>
        <w:rPr>
          <w:rFonts w:hint="eastAsia" w:ascii="宋体" w:hAnsi="宋体" w:eastAsia="宋体" w:cs="宋体"/>
          <w:sz w:val="24"/>
        </w:rPr>
      </w:pPr>
      <w:r>
        <w:rPr>
          <w:rFonts w:hint="eastAsia" w:ascii="宋体" w:hAnsi="宋体" w:eastAsia="宋体" w:cs="宋体"/>
          <w:sz w:val="24"/>
        </w:rPr>
        <w:t>涂层的干燥采用自然干燥，各层的涂刷间隔为12-24个小时。涂层干燥过程中应保持周围环境清洁，防止灰尘、雨、水和触碰等影响。</w:t>
      </w:r>
    </w:p>
    <w:p w14:paraId="2CFCAB0C">
      <w:pPr>
        <w:tabs>
          <w:tab w:val="left" w:pos="3465"/>
        </w:tabs>
        <w:spacing w:line="360" w:lineRule="auto"/>
        <w:ind w:firstLine="480" w:firstLineChars="200"/>
        <w:rPr>
          <w:rFonts w:hint="eastAsia" w:ascii="宋体" w:hAnsi="宋体" w:eastAsia="宋体" w:cs="宋体"/>
          <w:sz w:val="24"/>
        </w:rPr>
      </w:pPr>
      <w:r>
        <w:rPr>
          <w:rFonts w:hint="eastAsia" w:ascii="宋体" w:hAnsi="宋体" w:eastAsia="宋体" w:cs="宋体"/>
          <w:sz w:val="24"/>
        </w:rPr>
        <w:t>大面积涂刷前应进行局部的试涂刷。</w:t>
      </w:r>
    </w:p>
    <w:p w14:paraId="7C5C06BE">
      <w:pPr>
        <w:spacing w:line="360" w:lineRule="auto"/>
        <w:ind w:firstLine="480" w:firstLineChars="200"/>
        <w:rPr>
          <w:rFonts w:hint="eastAsia" w:ascii="宋体" w:hAnsi="宋体" w:eastAsia="宋体" w:cs="宋体"/>
          <w:sz w:val="24"/>
        </w:rPr>
      </w:pPr>
      <w:r>
        <w:rPr>
          <w:rFonts w:hint="eastAsia" w:ascii="宋体" w:hAnsi="宋体" w:eastAsia="宋体" w:cs="宋体"/>
          <w:sz w:val="24"/>
        </w:rPr>
        <w:t>在进行涂装前，对局部先进行预涂装，即首先用质量优良的刷子先将有缝隙、坑、孔洞、边缘、修补抗裂砂浆以及较难刷涂到的部位用漆刷刷涂一遍。</w:t>
      </w:r>
    </w:p>
    <w:p w14:paraId="17E54FAB">
      <w:pPr>
        <w:spacing w:line="360" w:lineRule="auto"/>
        <w:ind w:firstLine="480" w:firstLineChars="200"/>
        <w:rPr>
          <w:rFonts w:hint="eastAsia" w:ascii="宋体" w:hAnsi="宋体" w:eastAsia="宋体" w:cs="宋体"/>
          <w:sz w:val="24"/>
        </w:rPr>
      </w:pPr>
      <w:r>
        <w:rPr>
          <w:rFonts w:hint="eastAsia" w:ascii="宋体" w:hAnsi="宋体" w:eastAsia="宋体" w:cs="宋体"/>
          <w:sz w:val="24"/>
        </w:rPr>
        <w:t>注意不要留下气孔或漏涂。特别应注意对凹陷处涂严油漆，即漆膜下不能留有任何空气或其他杂质的空穴，必须注意不能有漏涂的地方。</w:t>
      </w:r>
    </w:p>
    <w:p w14:paraId="3217726E">
      <w:pPr>
        <w:spacing w:line="360" w:lineRule="auto"/>
        <w:ind w:firstLine="480" w:firstLineChars="200"/>
        <w:rPr>
          <w:rFonts w:hint="eastAsia" w:ascii="宋体" w:hAnsi="宋体" w:eastAsia="宋体" w:cs="宋体"/>
          <w:sz w:val="24"/>
        </w:rPr>
      </w:pPr>
      <w:r>
        <w:rPr>
          <w:rFonts w:hint="eastAsia" w:ascii="宋体" w:hAnsi="宋体" w:eastAsia="宋体" w:cs="宋体"/>
          <w:sz w:val="24"/>
        </w:rPr>
        <w:t>刷涂时漆刷上所用的油漆要足够多，用刷子填到孔洞和坑内，然后，等油漆流出来后再用刷子带平，注意，流挂是不允许的。</w:t>
      </w:r>
    </w:p>
    <w:p w14:paraId="1C7C0D16">
      <w:pPr>
        <w:tabs>
          <w:tab w:val="left" w:pos="3465"/>
        </w:tabs>
        <w:spacing w:line="360" w:lineRule="auto"/>
        <w:ind w:firstLine="480" w:firstLineChars="200"/>
        <w:rPr>
          <w:rFonts w:hint="eastAsia" w:ascii="宋体" w:hAnsi="宋体" w:eastAsia="宋体" w:cs="宋体"/>
          <w:sz w:val="24"/>
        </w:rPr>
      </w:pPr>
      <w:r>
        <w:rPr>
          <w:rFonts w:hint="eastAsia" w:ascii="宋体" w:hAnsi="宋体" w:eastAsia="宋体" w:cs="宋体"/>
          <w:sz w:val="24"/>
        </w:rPr>
        <w:t>3.2涂刷要求</w:t>
      </w:r>
    </w:p>
    <w:p w14:paraId="090CD91D">
      <w:pPr>
        <w:tabs>
          <w:tab w:val="left" w:pos="3465"/>
        </w:tabs>
        <w:spacing w:line="360" w:lineRule="auto"/>
        <w:ind w:firstLine="480" w:firstLineChars="200"/>
        <w:rPr>
          <w:rFonts w:hint="eastAsia" w:ascii="宋体" w:hAnsi="宋体" w:eastAsia="宋体" w:cs="宋体"/>
          <w:sz w:val="24"/>
        </w:rPr>
      </w:pPr>
      <w:r>
        <w:rPr>
          <w:rFonts w:hint="eastAsia" w:ascii="宋体" w:hAnsi="宋体" w:eastAsia="宋体" w:cs="宋体"/>
          <w:sz w:val="24"/>
        </w:rPr>
        <w:t>a底涂要求</w:t>
      </w:r>
    </w:p>
    <w:p w14:paraId="08FAE317">
      <w:pPr>
        <w:tabs>
          <w:tab w:val="left" w:pos="3465"/>
        </w:tabs>
        <w:spacing w:line="360" w:lineRule="auto"/>
        <w:ind w:firstLine="480" w:firstLineChars="200"/>
        <w:rPr>
          <w:rFonts w:hint="eastAsia" w:ascii="宋体" w:hAnsi="宋体" w:eastAsia="宋体" w:cs="宋体"/>
          <w:sz w:val="24"/>
        </w:rPr>
      </w:pPr>
      <w:r>
        <w:rPr>
          <w:rFonts w:hint="eastAsia" w:ascii="宋体" w:hAnsi="宋体" w:eastAsia="宋体" w:cs="宋体"/>
          <w:sz w:val="24"/>
        </w:rPr>
        <w:t>底涂材料，控制材料的粘度、稠度、稀度，兑制时应充分的搅拌，使油漆色泽、粘度均匀一致。</w:t>
      </w:r>
    </w:p>
    <w:p w14:paraId="44967671">
      <w:pPr>
        <w:tabs>
          <w:tab w:val="left" w:pos="3465"/>
        </w:tabs>
        <w:spacing w:line="360" w:lineRule="auto"/>
        <w:ind w:firstLine="480" w:firstLineChars="200"/>
        <w:rPr>
          <w:rFonts w:hint="eastAsia" w:ascii="宋体" w:hAnsi="宋体" w:eastAsia="宋体" w:cs="宋体"/>
          <w:sz w:val="24"/>
        </w:rPr>
      </w:pPr>
      <w:r>
        <w:rPr>
          <w:rFonts w:hint="eastAsia" w:ascii="宋体" w:hAnsi="宋体" w:eastAsia="宋体" w:cs="宋体"/>
          <w:sz w:val="24"/>
        </w:rPr>
        <w:t>刷第一层底漆时涂刷方向应该一致，接槎整齐。</w:t>
      </w:r>
    </w:p>
    <w:p w14:paraId="089B9F1C">
      <w:pPr>
        <w:tabs>
          <w:tab w:val="left" w:pos="3465"/>
        </w:tabs>
        <w:spacing w:line="360" w:lineRule="auto"/>
        <w:ind w:firstLine="480" w:firstLineChars="200"/>
        <w:rPr>
          <w:rFonts w:hint="eastAsia" w:ascii="宋体" w:hAnsi="宋体" w:eastAsia="宋体" w:cs="宋体"/>
          <w:sz w:val="24"/>
        </w:rPr>
      </w:pPr>
      <w:r>
        <w:rPr>
          <w:rFonts w:hint="eastAsia" w:ascii="宋体" w:hAnsi="宋体" w:eastAsia="宋体" w:cs="宋体"/>
          <w:sz w:val="24"/>
        </w:rPr>
        <w:t>刷漆时应采用勤沾、短刷的原则，防止刷子带漆太多而流坠。</w:t>
      </w:r>
    </w:p>
    <w:p w14:paraId="280DA00E">
      <w:pPr>
        <w:tabs>
          <w:tab w:val="left" w:pos="3465"/>
        </w:tabs>
        <w:spacing w:line="360" w:lineRule="auto"/>
        <w:ind w:firstLine="480" w:firstLineChars="200"/>
        <w:rPr>
          <w:rFonts w:hint="eastAsia" w:ascii="宋体" w:hAnsi="宋体" w:eastAsia="宋体" w:cs="宋体"/>
          <w:sz w:val="24"/>
        </w:rPr>
      </w:pPr>
      <w:r>
        <w:rPr>
          <w:rFonts w:hint="eastAsia" w:ascii="宋体" w:hAnsi="宋体" w:eastAsia="宋体" w:cs="宋体"/>
          <w:sz w:val="24"/>
        </w:rPr>
        <w:t>待第一遍刷完后，应保持一定的时间间隙，防止第一遍未干就上第二遍，这样会使漆液流坠发皱，质量下降。</w:t>
      </w:r>
    </w:p>
    <w:p w14:paraId="2BE8CC41">
      <w:pPr>
        <w:tabs>
          <w:tab w:val="left" w:pos="3465"/>
        </w:tabs>
        <w:spacing w:line="360" w:lineRule="auto"/>
        <w:ind w:firstLine="480" w:firstLineChars="200"/>
        <w:rPr>
          <w:rFonts w:hint="eastAsia" w:ascii="宋体" w:hAnsi="宋体" w:eastAsia="宋体" w:cs="宋体"/>
          <w:sz w:val="24"/>
        </w:rPr>
      </w:pPr>
      <w:r>
        <w:rPr>
          <w:rFonts w:hint="eastAsia" w:ascii="宋体" w:hAnsi="宋体" w:eastAsia="宋体" w:cs="宋体"/>
          <w:sz w:val="24"/>
        </w:rPr>
        <w:t>待第一遍干燥后，再刷第二遍，第二遍涂刷方向应与第一遍涂刷方向垂直，这样会使漆膜厚度均匀一致。</w:t>
      </w:r>
    </w:p>
    <w:p w14:paraId="6878DB2B">
      <w:pPr>
        <w:tabs>
          <w:tab w:val="left" w:pos="3465"/>
        </w:tabs>
        <w:spacing w:line="360" w:lineRule="auto"/>
        <w:ind w:firstLine="480" w:firstLineChars="200"/>
        <w:rPr>
          <w:rFonts w:hint="eastAsia" w:ascii="宋体" w:hAnsi="宋体" w:eastAsia="宋体" w:cs="宋体"/>
          <w:sz w:val="24"/>
        </w:rPr>
      </w:pPr>
      <w:r>
        <w:rPr>
          <w:rFonts w:hint="eastAsia" w:ascii="宋体" w:hAnsi="宋体" w:eastAsia="宋体" w:cs="宋体"/>
          <w:sz w:val="24"/>
        </w:rPr>
        <w:t xml:space="preserve"> 底漆涂装后起码需4～8h后才能达到表干、表干前不应涂装面漆。</w:t>
      </w:r>
    </w:p>
    <w:p w14:paraId="22D98AC6">
      <w:pPr>
        <w:tabs>
          <w:tab w:val="left" w:pos="3465"/>
        </w:tabs>
        <w:spacing w:line="360" w:lineRule="auto"/>
        <w:ind w:firstLine="480" w:firstLineChars="200"/>
        <w:rPr>
          <w:rFonts w:hint="eastAsia" w:ascii="宋体" w:hAnsi="宋体" w:eastAsia="宋体" w:cs="宋体"/>
          <w:sz w:val="24"/>
        </w:rPr>
      </w:pPr>
      <w:r>
        <w:rPr>
          <w:rFonts w:hint="eastAsia" w:ascii="宋体" w:hAnsi="宋体" w:eastAsia="宋体" w:cs="宋体"/>
          <w:sz w:val="24"/>
        </w:rPr>
        <w:t>b面漆涂装</w:t>
      </w:r>
    </w:p>
    <w:p w14:paraId="3B0DC7B9">
      <w:pPr>
        <w:tabs>
          <w:tab w:val="left" w:pos="3465"/>
        </w:tabs>
        <w:spacing w:line="360" w:lineRule="auto"/>
        <w:ind w:firstLine="480" w:firstLineChars="200"/>
        <w:rPr>
          <w:rFonts w:hint="eastAsia" w:ascii="宋体" w:hAnsi="宋体" w:eastAsia="宋体" w:cs="宋体"/>
          <w:sz w:val="24"/>
        </w:rPr>
      </w:pPr>
      <w:r>
        <w:rPr>
          <w:rFonts w:hint="eastAsia" w:ascii="宋体" w:hAnsi="宋体" w:eastAsia="宋体" w:cs="宋体"/>
          <w:sz w:val="24"/>
        </w:rPr>
        <w:t>面漆的调制应选择颜色完全一致的面漆，兑制的稀料应合适，面漆使用前应充分搅拌，保持色泽均匀。其工作粘度、稠度应保证涂装时不流坠，不显刷纹。</w:t>
      </w:r>
    </w:p>
    <w:p w14:paraId="761A9497">
      <w:pPr>
        <w:tabs>
          <w:tab w:val="left" w:pos="3465"/>
        </w:tabs>
        <w:spacing w:line="360" w:lineRule="auto"/>
        <w:ind w:firstLine="480" w:firstLineChars="200"/>
        <w:rPr>
          <w:rFonts w:hint="eastAsia" w:ascii="宋体" w:hAnsi="宋体" w:eastAsia="宋体" w:cs="宋体"/>
          <w:sz w:val="24"/>
        </w:rPr>
      </w:pPr>
      <w:r>
        <w:rPr>
          <w:rFonts w:hint="eastAsia" w:ascii="宋体" w:hAnsi="宋体" w:eastAsia="宋体" w:cs="宋体"/>
          <w:sz w:val="24"/>
        </w:rPr>
        <w:t>面漆在使用过程中应不断搅和，涂刷的方法和方向与上述工艺相同。</w:t>
      </w:r>
    </w:p>
    <w:p w14:paraId="0A64856D">
      <w:pPr>
        <w:tabs>
          <w:tab w:val="left" w:pos="3465"/>
        </w:tabs>
        <w:spacing w:line="360" w:lineRule="auto"/>
        <w:ind w:firstLine="480" w:firstLineChars="200"/>
        <w:rPr>
          <w:rFonts w:hint="eastAsia" w:ascii="宋体" w:hAnsi="宋体" w:eastAsia="宋体" w:cs="宋体"/>
          <w:sz w:val="24"/>
        </w:rPr>
      </w:pPr>
      <w:r>
        <w:rPr>
          <w:rFonts w:hint="eastAsia" w:ascii="宋体" w:hAnsi="宋体" w:eastAsia="宋体" w:cs="宋体"/>
          <w:sz w:val="24"/>
        </w:rPr>
        <w:t>要求涂刷层外观整体颜色均匀一致，无流淌、无流挂、无漏刷、无漏涂等缺陷存在。</w:t>
      </w:r>
    </w:p>
    <w:p w14:paraId="10D68B71">
      <w:pPr>
        <w:tabs>
          <w:tab w:val="left" w:pos="3465"/>
        </w:tabs>
        <w:spacing w:line="360" w:lineRule="auto"/>
        <w:ind w:firstLine="480" w:firstLineChars="200"/>
        <w:rPr>
          <w:rFonts w:hint="eastAsia" w:ascii="宋体" w:hAnsi="宋体" w:eastAsia="宋体" w:cs="宋体"/>
          <w:sz w:val="24"/>
        </w:rPr>
      </w:pPr>
      <w:r>
        <w:rPr>
          <w:rFonts w:hint="eastAsia" w:ascii="宋体" w:hAnsi="宋体" w:eastAsia="宋体" w:cs="宋体"/>
          <w:sz w:val="24"/>
        </w:rPr>
        <w:t>c涂刷施工</w:t>
      </w:r>
    </w:p>
    <w:p w14:paraId="104E70D8">
      <w:pPr>
        <w:tabs>
          <w:tab w:val="left" w:pos="3465"/>
        </w:tabs>
        <w:spacing w:line="360" w:lineRule="auto"/>
        <w:ind w:firstLine="480" w:firstLineChars="200"/>
        <w:rPr>
          <w:rFonts w:hint="eastAsia" w:ascii="宋体" w:hAnsi="宋体" w:eastAsia="宋体" w:cs="宋体"/>
          <w:sz w:val="24"/>
        </w:rPr>
      </w:pPr>
      <w:r>
        <w:rPr>
          <w:rFonts w:hint="eastAsia" w:ascii="宋体" w:hAnsi="宋体" w:eastAsia="宋体" w:cs="宋体"/>
          <w:sz w:val="24"/>
        </w:rPr>
        <w:t>蘸漆不要过深，一般刷毛入渍的深度不要超过其长度的一半，蘸漆后应立即将刷头两面在被涂处各拍打一下，使油漆进入刷毛端部的内处。</w:t>
      </w:r>
    </w:p>
    <w:p w14:paraId="2F6B1A78">
      <w:pPr>
        <w:tabs>
          <w:tab w:val="left" w:pos="3465"/>
        </w:tabs>
        <w:spacing w:line="360" w:lineRule="auto"/>
        <w:ind w:firstLine="480" w:firstLineChars="200"/>
        <w:rPr>
          <w:rFonts w:hint="eastAsia" w:ascii="宋体" w:hAnsi="宋体" w:eastAsia="宋体" w:cs="宋体"/>
          <w:sz w:val="24"/>
        </w:rPr>
      </w:pPr>
      <w:r>
        <w:rPr>
          <w:rFonts w:hint="eastAsia" w:ascii="宋体" w:hAnsi="宋体" w:eastAsia="宋体" w:cs="宋体"/>
          <w:sz w:val="24"/>
        </w:rPr>
        <w:t>摊漆时用力要适中，由摊漆段的上半部向上走刷，耗用油刷背面的油漆。油漆刷走到头后再由上向下走刷，耗掉油漆刷正面的油漆。摊漆时各刷之间要留有一定的间隙，一般为5cm-6cm。</w:t>
      </w:r>
    </w:p>
    <w:p w14:paraId="5924AAB1">
      <w:pPr>
        <w:tabs>
          <w:tab w:val="left" w:pos="3465"/>
        </w:tabs>
        <w:spacing w:line="360" w:lineRule="auto"/>
        <w:ind w:firstLine="480" w:firstLineChars="200"/>
        <w:rPr>
          <w:rFonts w:hint="eastAsia" w:ascii="宋体" w:hAnsi="宋体" w:eastAsia="宋体" w:cs="宋体"/>
          <w:sz w:val="24"/>
        </w:rPr>
      </w:pPr>
      <w:r>
        <w:rPr>
          <w:rFonts w:hint="eastAsia" w:ascii="宋体" w:hAnsi="宋体" w:eastAsia="宋体" w:cs="宋体"/>
          <w:sz w:val="24"/>
        </w:rPr>
        <w:t>摊漆后应一刷挨一刷地用油漆刷顶部轻轻地将油漆上下理顺，走刷要平稳，用力要均匀。水平面应顺光线照射的方向理油漆。为避免接痕，刷涂的各片段在相互连接时应经常移动位置，不要总在一个部位相接。</w:t>
      </w:r>
    </w:p>
    <w:p w14:paraId="1C5B5651">
      <w:pPr>
        <w:tabs>
          <w:tab w:val="left" w:pos="3465"/>
        </w:tabs>
        <w:spacing w:line="360" w:lineRule="auto"/>
        <w:ind w:firstLine="480" w:firstLineChars="200"/>
        <w:rPr>
          <w:rFonts w:hint="eastAsia" w:ascii="宋体" w:hAnsi="宋体" w:eastAsia="宋体" w:cs="宋体"/>
          <w:sz w:val="24"/>
        </w:rPr>
      </w:pPr>
      <w:r>
        <w:rPr>
          <w:rFonts w:hint="eastAsia" w:ascii="宋体" w:hAnsi="宋体" w:eastAsia="宋体" w:cs="宋体"/>
          <w:sz w:val="24"/>
        </w:rPr>
        <w:t>多层涂刷时，必须上层干燥后现涂刷下层油漆，层间应结合紧密、无分层现象。</w:t>
      </w:r>
    </w:p>
    <w:p w14:paraId="2F1FC535">
      <w:pPr>
        <w:spacing w:line="360" w:lineRule="auto"/>
        <w:ind w:firstLine="480" w:firstLineChars="200"/>
        <w:rPr>
          <w:rFonts w:hint="eastAsia" w:ascii="宋体" w:hAnsi="宋体" w:eastAsia="宋体" w:cs="宋体"/>
          <w:sz w:val="24"/>
        </w:rPr>
      </w:pPr>
      <w:r>
        <w:rPr>
          <w:rFonts w:hint="eastAsia" w:ascii="宋体" w:hAnsi="宋体" w:eastAsia="宋体" w:cs="宋体"/>
          <w:sz w:val="24"/>
        </w:rPr>
        <w:t>喷涂时，手持喷枪使喷束始终垂直于表面，并与被涂表面保持30－50cm左右的均匀距离。每一喷道应在前一喷道上重叠50%，少于50%的重叠会使末道漆表面上出现条痕。扣下扳机后，匀速移动喷枪，因为涂料是匀速流动的，喷幅在50%的重叠时，漆膜覆盖均匀。</w:t>
      </w:r>
    </w:p>
    <w:tbl>
      <w:tblPr>
        <w:tblStyle w:val="16"/>
        <w:tblW w:w="854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70"/>
        <w:gridCol w:w="4270"/>
      </w:tblGrid>
      <w:tr w14:paraId="5F5AC0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trPr>
        <w:tc>
          <w:tcPr>
            <w:tcW w:w="4270" w:type="dxa"/>
          </w:tcPr>
          <w:p w14:paraId="17A84AF4">
            <w:pPr>
              <w:pStyle w:val="4"/>
              <w:jc w:val="center"/>
              <w:rPr>
                <w:vertAlign w:val="baseline"/>
              </w:rPr>
            </w:pPr>
            <w:r>
              <w:rPr>
                <w:rFonts w:hint="eastAsia" w:ascii="宋体" w:hAnsi="宋体" w:eastAsia="宋体" w:cs="宋体"/>
                <w:sz w:val="24"/>
              </w:rPr>
              <w:drawing>
                <wp:inline distT="0" distB="0" distL="114300" distR="114300">
                  <wp:extent cx="2143125" cy="1476375"/>
                  <wp:effectExtent l="0" t="0" r="9525" b="952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5"/>
                          <a:stretch>
                            <a:fillRect/>
                          </a:stretch>
                        </pic:blipFill>
                        <pic:spPr>
                          <a:xfrm>
                            <a:off x="0" y="0"/>
                            <a:ext cx="2143125" cy="1476375"/>
                          </a:xfrm>
                          <a:prstGeom prst="rect">
                            <a:avLst/>
                          </a:prstGeom>
                          <a:noFill/>
                          <a:ln>
                            <a:noFill/>
                          </a:ln>
                        </pic:spPr>
                      </pic:pic>
                    </a:graphicData>
                  </a:graphic>
                </wp:inline>
              </w:drawing>
            </w:r>
          </w:p>
        </w:tc>
        <w:tc>
          <w:tcPr>
            <w:tcW w:w="4270" w:type="dxa"/>
          </w:tcPr>
          <w:p w14:paraId="44011D0B">
            <w:pPr>
              <w:pStyle w:val="4"/>
              <w:jc w:val="center"/>
              <w:rPr>
                <w:vertAlign w:val="baseline"/>
              </w:rPr>
            </w:pPr>
            <w:r>
              <w:rPr>
                <w:rFonts w:hint="eastAsia" w:ascii="宋体" w:hAnsi="宋体" w:eastAsia="宋体" w:cs="宋体"/>
                <w:sz w:val="24"/>
              </w:rPr>
              <w:drawing>
                <wp:inline distT="0" distB="0" distL="114300" distR="114300">
                  <wp:extent cx="2461260" cy="1399540"/>
                  <wp:effectExtent l="0" t="0" r="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6"/>
                          <a:srcRect t="6768"/>
                          <a:stretch>
                            <a:fillRect/>
                          </a:stretch>
                        </pic:blipFill>
                        <pic:spPr>
                          <a:xfrm>
                            <a:off x="0" y="0"/>
                            <a:ext cx="2461260" cy="1399540"/>
                          </a:xfrm>
                          <a:prstGeom prst="rect">
                            <a:avLst/>
                          </a:prstGeom>
                          <a:noFill/>
                          <a:ln>
                            <a:noFill/>
                          </a:ln>
                        </pic:spPr>
                      </pic:pic>
                    </a:graphicData>
                  </a:graphic>
                </wp:inline>
              </w:drawing>
            </w:r>
          </w:p>
        </w:tc>
      </w:tr>
    </w:tbl>
    <w:p w14:paraId="149F3AF5">
      <w:pPr>
        <w:spacing w:line="360" w:lineRule="auto"/>
        <w:ind w:firstLine="482" w:firstLineChars="200"/>
        <w:outlineLvl w:val="0"/>
        <w:rPr>
          <w:rFonts w:hint="eastAsia" w:ascii="宋体" w:hAnsi="宋体" w:cs="宋体"/>
          <w:b/>
          <w:bCs/>
          <w:sz w:val="24"/>
          <w:lang w:val="en-US" w:eastAsia="zh-CN"/>
        </w:rPr>
      </w:pPr>
      <w:r>
        <w:rPr>
          <w:rFonts w:hint="eastAsia" w:ascii="宋体" w:hAnsi="宋体" w:cs="宋体"/>
          <w:b/>
          <w:bCs/>
          <w:sz w:val="24"/>
          <w:lang w:val="en-US" w:eastAsia="zh-CN"/>
        </w:rPr>
        <w:t>四、手绘方法</w:t>
      </w:r>
    </w:p>
    <w:p w14:paraId="0AE3DDF3">
      <w:pPr>
        <w:bidi w:val="0"/>
        <w:spacing w:line="360" w:lineRule="auto"/>
        <w:ind w:firstLine="480" w:firstLineChars="200"/>
        <w:rPr>
          <w:rFonts w:hint="eastAsia" w:ascii="宋体" w:hAnsi="宋体" w:eastAsia="宋体" w:cs="宋体"/>
          <w:sz w:val="24"/>
          <w:szCs w:val="24"/>
          <w:lang w:val="en-US" w:eastAsia="zh-CN"/>
        </w:rPr>
      </w:pPr>
      <w:r>
        <w:rPr>
          <w:rFonts w:hint="eastAsia" w:ascii="宋体" w:hAnsi="宋体" w:cs="宋体"/>
          <w:sz w:val="24"/>
          <w:szCs w:val="24"/>
          <w:lang w:val="en-US" w:eastAsia="zh-CN"/>
        </w:rPr>
        <w:t>4.1</w:t>
      </w:r>
      <w:r>
        <w:rPr>
          <w:rFonts w:hint="eastAsia" w:ascii="宋体" w:hAnsi="宋体" w:eastAsia="宋体" w:cs="宋体"/>
          <w:sz w:val="24"/>
          <w:szCs w:val="24"/>
          <w:lang w:val="en-US" w:eastAsia="zh-CN"/>
        </w:rPr>
        <w:t>在电脑中模拟出墙面的大致色系，后按大致色系在墙面上进行涂装。如下图一颜色分析所示；</w:t>
      </w:r>
    </w:p>
    <w:p w14:paraId="4E253AA4">
      <w:pPr>
        <w:bidi w:val="0"/>
        <w:spacing w:line="360" w:lineRule="auto"/>
        <w:ind w:firstLine="480" w:firstLineChars="200"/>
        <w:rPr>
          <w:rFonts w:hint="eastAsia"/>
          <w:sz w:val="24"/>
          <w:szCs w:val="24"/>
          <w:lang w:val="en-US" w:eastAsia="zh-CN"/>
        </w:rPr>
      </w:pPr>
      <w:r>
        <w:rPr>
          <w:rFonts w:hint="eastAsia" w:ascii="宋体" w:hAnsi="宋体" w:cs="宋体"/>
          <w:sz w:val="24"/>
          <w:szCs w:val="24"/>
          <w:lang w:val="en-US" w:eastAsia="zh-CN"/>
        </w:rPr>
        <w:t>4.2</w:t>
      </w:r>
      <w:r>
        <w:rPr>
          <w:rFonts w:hint="eastAsia" w:ascii="宋体" w:hAnsi="宋体" w:eastAsia="宋体" w:cs="宋体"/>
          <w:sz w:val="24"/>
          <w:szCs w:val="24"/>
          <w:lang w:val="en-US" w:eastAsia="zh-CN"/>
        </w:rPr>
        <w:t>在电脑中按烟囱高度，在次按效果图模拟出彩绘内容，并进行“经纬度”坐标标注并效果图小块分割。如下</w:t>
      </w:r>
      <w:r>
        <w:rPr>
          <w:rFonts w:hint="eastAsia" w:ascii="宋体" w:hAnsi="宋体" w:eastAsia="宋体" w:cs="宋体"/>
          <w:b w:val="0"/>
          <w:spacing w:val="0"/>
          <w:kern w:val="2"/>
          <w:sz w:val="24"/>
          <w:szCs w:val="24"/>
          <w:lang w:val="en-US" w:eastAsia="zh-CN" w:bidi="ar-SA"/>
        </w:rPr>
        <w:t>图二、油漆工面漆涂装</w:t>
      </w:r>
      <w:r>
        <w:rPr>
          <w:rFonts w:hint="eastAsia" w:ascii="宋体" w:hAnsi="宋体" w:eastAsia="宋体" w:cs="宋体"/>
          <w:sz w:val="24"/>
          <w:szCs w:val="24"/>
          <w:lang w:val="en-US" w:eastAsia="zh-CN"/>
        </w:rPr>
        <w:t>所示；</w:t>
      </w:r>
    </w:p>
    <w:p w14:paraId="0E2FD046">
      <w:pPr>
        <w:bidi w:val="0"/>
        <w:spacing w:line="360" w:lineRule="auto"/>
        <w:ind w:firstLine="480" w:firstLineChars="200"/>
        <w:rPr>
          <w:rFonts w:hint="eastAsia" w:ascii="宋体" w:hAnsi="宋体" w:eastAsia="宋体" w:cs="宋体"/>
          <w:sz w:val="24"/>
          <w:szCs w:val="24"/>
          <w:lang w:val="en-US" w:eastAsia="zh-CN"/>
        </w:rPr>
      </w:pPr>
      <w:r>
        <w:rPr>
          <w:rFonts w:hint="eastAsia" w:ascii="宋体" w:hAnsi="宋体" w:cs="宋体"/>
          <w:sz w:val="24"/>
          <w:szCs w:val="24"/>
          <w:lang w:val="en-US" w:eastAsia="zh-CN"/>
        </w:rPr>
        <w:t>4.3</w:t>
      </w:r>
      <w:r>
        <w:rPr>
          <w:rFonts w:hint="eastAsia" w:ascii="宋体" w:hAnsi="宋体" w:eastAsia="宋体" w:cs="宋体"/>
          <w:sz w:val="24"/>
          <w:szCs w:val="24"/>
          <w:lang w:val="en-US" w:eastAsia="zh-CN"/>
        </w:rPr>
        <w:t>绘画老师按电脑模拟的</w:t>
      </w:r>
      <w:r>
        <w:rPr>
          <w:rFonts w:hint="eastAsia" w:ascii="宋体" w:hAnsi="宋体" w:eastAsia="宋体" w:cs="宋体"/>
          <w:b w:val="0"/>
          <w:spacing w:val="0"/>
          <w:kern w:val="2"/>
          <w:sz w:val="24"/>
          <w:szCs w:val="24"/>
          <w:lang w:val="en-US" w:eastAsia="zh-CN" w:bidi="ar-SA"/>
        </w:rPr>
        <w:t>图二</w:t>
      </w:r>
      <w:r>
        <w:rPr>
          <w:rFonts w:hint="eastAsia" w:ascii="宋体" w:hAnsi="宋体" w:eastAsia="宋体" w:cs="宋体"/>
          <w:sz w:val="24"/>
          <w:szCs w:val="24"/>
          <w:lang w:val="en-US" w:eastAsia="zh-CN"/>
        </w:rPr>
        <w:t>小块颜色位置，并按电脑模拟分割小块绘画精致绘画，如下图三；</w:t>
      </w:r>
    </w:p>
    <w:p w14:paraId="056C865C">
      <w:pPr>
        <w:spacing w:line="360" w:lineRule="auto"/>
        <w:ind w:firstLine="480" w:firstLineChars="200"/>
        <w:jc w:val="both"/>
        <w:outlineLvl w:val="9"/>
        <w:rPr>
          <w:rFonts w:hint="eastAsia" w:ascii="宋体" w:hAnsi="宋体" w:cs="宋体"/>
          <w:sz w:val="24"/>
          <w:szCs w:val="24"/>
          <w:lang w:val="en-US" w:eastAsia="zh-CN"/>
        </w:rPr>
      </w:pPr>
      <w:r>
        <w:rPr>
          <w:rFonts w:hint="eastAsia" w:ascii="宋体" w:hAnsi="宋体" w:cs="宋体"/>
          <w:sz w:val="24"/>
          <w:szCs w:val="24"/>
          <w:lang w:val="en-US" w:eastAsia="zh-CN"/>
        </w:rPr>
        <w:t>4.4</w:t>
      </w:r>
      <w:r>
        <w:rPr>
          <w:rFonts w:hint="eastAsia" w:ascii="宋体" w:hAnsi="宋体" w:eastAsia="宋体" w:cs="宋体"/>
          <w:sz w:val="24"/>
          <w:szCs w:val="24"/>
          <w:lang w:val="en-US" w:eastAsia="zh-CN"/>
        </w:rPr>
        <w:t>地面绘画指挥人员，在开阔位置或最佳观景平台通过对讲机，对高空油漆工、绘画老师进行指挥，及时修正并优化彩绘效果</w:t>
      </w:r>
      <w:r>
        <w:rPr>
          <w:rFonts w:hint="eastAsia" w:ascii="宋体" w:hAnsi="宋体" w:cs="宋体"/>
          <w:sz w:val="24"/>
          <w:szCs w:val="24"/>
          <w:lang w:val="en-US" w:eastAsia="zh-CN"/>
        </w:rPr>
        <w:t>。</w:t>
      </w:r>
    </w:p>
    <w:p w14:paraId="0F2637FB">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14:paraId="2A5434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14:paraId="291D6F7D">
            <w:pPr>
              <w:pStyle w:val="2"/>
              <w:widowControl w:val="0"/>
              <w:ind w:left="0" w:leftChars="0" w:firstLine="0" w:firstLineChars="0"/>
              <w:jc w:val="center"/>
              <w:rPr>
                <w:rFonts w:hint="eastAsia"/>
                <w:vertAlign w:val="baseline"/>
                <w:lang w:val="en-US" w:eastAsia="zh-CN"/>
              </w:rPr>
            </w:pPr>
            <w:r>
              <w:rPr>
                <w:rFonts w:hint="eastAsia" w:ascii="宋体" w:hAnsi="宋体" w:eastAsia="宋体" w:cs="宋体"/>
                <w:b w:val="0"/>
                <w:spacing w:val="0"/>
                <w:kern w:val="2"/>
                <w:sz w:val="24"/>
                <w:szCs w:val="24"/>
                <w:lang w:val="en-US" w:eastAsia="zh-CN" w:bidi="ar-SA"/>
              </w:rPr>
              <w:t>以烟囱冷却塔立体效果图为例</w:t>
            </w:r>
          </w:p>
        </w:tc>
      </w:tr>
      <w:tr w14:paraId="491260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14:paraId="0135AF29">
            <w:pPr>
              <w:pStyle w:val="2"/>
              <w:widowControl w:val="0"/>
              <w:ind w:left="0" w:leftChars="0" w:firstLine="0" w:firstLineChars="0"/>
              <w:jc w:val="center"/>
              <w:rPr>
                <w:rFonts w:hint="eastAsia"/>
                <w:vertAlign w:val="baseline"/>
                <w:lang w:val="en-US" w:eastAsia="zh-CN"/>
              </w:rPr>
            </w:pPr>
            <w:r>
              <w:drawing>
                <wp:inline distT="0" distB="0" distL="114300" distR="114300">
                  <wp:extent cx="5273675" cy="3434715"/>
                  <wp:effectExtent l="0" t="0" r="3175" b="3810"/>
                  <wp:docPr id="6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0"/>
                          <pic:cNvPicPr>
                            <a:picLocks noChangeAspect="1"/>
                          </pic:cNvPicPr>
                        </pic:nvPicPr>
                        <pic:blipFill>
                          <a:blip r:embed="rId7"/>
                          <a:stretch>
                            <a:fillRect/>
                          </a:stretch>
                        </pic:blipFill>
                        <pic:spPr>
                          <a:xfrm>
                            <a:off x="0" y="0"/>
                            <a:ext cx="5273675" cy="3434715"/>
                          </a:xfrm>
                          <a:prstGeom prst="rect">
                            <a:avLst/>
                          </a:prstGeom>
                          <a:noFill/>
                          <a:ln>
                            <a:noFill/>
                          </a:ln>
                        </pic:spPr>
                      </pic:pic>
                    </a:graphicData>
                  </a:graphic>
                </wp:inline>
              </w:drawing>
            </w:r>
          </w:p>
        </w:tc>
      </w:tr>
    </w:tbl>
    <w:tbl>
      <w:tblPr>
        <w:tblStyle w:val="16"/>
        <w:tblpPr w:leftFromText="180" w:rightFromText="180" w:vertAnchor="text" w:horzAnchor="page" w:tblpX="1798" w:tblpY="425"/>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14:paraId="415DB2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14:paraId="309ACF11">
            <w:pPr>
              <w:widowControl w:val="0"/>
              <w:jc w:val="center"/>
              <w:rPr>
                <w:rFonts w:hint="eastAsia" w:ascii="宋体" w:hAnsi="宋体" w:eastAsia="宋体" w:cs="宋体"/>
                <w:sz w:val="24"/>
                <w:szCs w:val="24"/>
                <w:vertAlign w:val="baseline"/>
                <w:lang w:val="en-US" w:eastAsia="zh-CN"/>
              </w:rPr>
            </w:pPr>
            <w:r>
              <w:rPr>
                <w:rFonts w:hint="eastAsia" w:ascii="宋体" w:hAnsi="宋体" w:eastAsia="宋体" w:cs="宋体"/>
                <w:b w:val="0"/>
                <w:spacing w:val="0"/>
                <w:kern w:val="2"/>
                <w:sz w:val="24"/>
                <w:szCs w:val="24"/>
                <w:lang w:val="en-US" w:eastAsia="zh-CN" w:bidi="ar-SA"/>
              </w:rPr>
              <w:t>图一、颜色分析</w:t>
            </w:r>
          </w:p>
        </w:tc>
      </w:tr>
      <w:tr w14:paraId="209F27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14:paraId="69AC98E4">
            <w:pPr>
              <w:widowControl w:val="0"/>
              <w:jc w:val="center"/>
              <w:rPr>
                <w:rFonts w:hint="eastAsia" w:ascii="宋体" w:hAnsi="宋体" w:eastAsia="宋体" w:cs="宋体"/>
                <w:sz w:val="24"/>
                <w:szCs w:val="24"/>
                <w:vertAlign w:val="baseline"/>
                <w:lang w:val="en-US" w:eastAsia="zh-CN"/>
              </w:rPr>
            </w:pPr>
            <w:r>
              <w:drawing>
                <wp:inline distT="0" distB="0" distL="114300" distR="114300">
                  <wp:extent cx="5269230" cy="2807335"/>
                  <wp:effectExtent l="0" t="0" r="7620" b="2540"/>
                  <wp:docPr id="6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1"/>
                          <pic:cNvPicPr>
                            <a:picLocks noChangeAspect="1"/>
                          </pic:cNvPicPr>
                        </pic:nvPicPr>
                        <pic:blipFill>
                          <a:blip r:embed="rId8"/>
                          <a:stretch>
                            <a:fillRect/>
                          </a:stretch>
                        </pic:blipFill>
                        <pic:spPr>
                          <a:xfrm>
                            <a:off x="0" y="0"/>
                            <a:ext cx="5269230" cy="2807335"/>
                          </a:xfrm>
                          <a:prstGeom prst="rect">
                            <a:avLst/>
                          </a:prstGeom>
                          <a:noFill/>
                          <a:ln>
                            <a:noFill/>
                          </a:ln>
                        </pic:spPr>
                      </pic:pic>
                    </a:graphicData>
                  </a:graphic>
                </wp:inline>
              </w:drawing>
            </w:r>
          </w:p>
        </w:tc>
      </w:tr>
    </w:tbl>
    <w:p w14:paraId="57CAEFF8">
      <w:pPr>
        <w:pStyle w:val="2"/>
        <w:ind w:left="0" w:leftChars="0" w:firstLine="0" w:firstLineChars="0"/>
        <w:jc w:val="center"/>
        <w:rPr>
          <w:rFonts w:hint="eastAsia"/>
          <w:lang w:val="en-US" w:eastAsia="zh-CN"/>
        </w:rPr>
      </w:pPr>
    </w:p>
    <w:p w14:paraId="621EE239">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tbl>
      <w:tblPr>
        <w:tblStyle w:val="16"/>
        <w:tblW w:w="90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60"/>
      </w:tblGrid>
      <w:tr w14:paraId="309843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2" w:hRule="atLeast"/>
        </w:trPr>
        <w:tc>
          <w:tcPr>
            <w:tcW w:w="9060" w:type="dxa"/>
          </w:tcPr>
          <w:p w14:paraId="76349DC1">
            <w:pPr>
              <w:widowControl w:val="0"/>
              <w:spacing w:line="360" w:lineRule="auto"/>
              <w:jc w:val="center"/>
              <w:outlineLvl w:val="9"/>
              <w:rPr>
                <w:rFonts w:hint="eastAsia" w:ascii="宋体" w:hAnsi="宋体" w:eastAsia="宋体" w:cs="宋体"/>
                <w:b w:val="0"/>
                <w:spacing w:val="0"/>
                <w:kern w:val="2"/>
                <w:sz w:val="24"/>
                <w:szCs w:val="24"/>
                <w:lang w:val="en-US" w:eastAsia="zh-CN" w:bidi="ar-SA"/>
              </w:rPr>
            </w:pPr>
            <w:r>
              <w:rPr>
                <w:rFonts w:hint="eastAsia" w:ascii="宋体" w:hAnsi="宋体" w:eastAsia="宋体" w:cs="宋体"/>
                <w:b w:val="0"/>
                <w:spacing w:val="0"/>
                <w:kern w:val="2"/>
                <w:sz w:val="24"/>
                <w:szCs w:val="24"/>
                <w:lang w:val="en-US" w:eastAsia="zh-CN" w:bidi="ar-SA"/>
              </w:rPr>
              <w:t>图二、冷却塔油漆工面漆涂装</w:t>
            </w:r>
          </w:p>
        </w:tc>
      </w:tr>
      <w:tr w14:paraId="2B9978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70" w:hRule="atLeast"/>
        </w:trPr>
        <w:tc>
          <w:tcPr>
            <w:tcW w:w="9060" w:type="dxa"/>
          </w:tcPr>
          <w:p w14:paraId="513A0590">
            <w:pPr>
              <w:widowControl w:val="0"/>
              <w:spacing w:line="360" w:lineRule="auto"/>
              <w:jc w:val="center"/>
              <w:outlineLvl w:val="9"/>
              <w:rPr>
                <w:rFonts w:hint="eastAsia" w:ascii="宋体" w:hAnsi="宋体" w:eastAsia="宋体" w:cs="宋体"/>
                <w:vertAlign w:val="baseline"/>
                <w:lang w:val="en-US" w:eastAsia="zh-CN"/>
              </w:rPr>
            </w:pPr>
            <w:r>
              <w:drawing>
                <wp:inline distT="0" distB="0" distL="114300" distR="114300">
                  <wp:extent cx="4393565" cy="3360420"/>
                  <wp:effectExtent l="0" t="0" r="6985" b="1905"/>
                  <wp:docPr id="7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3"/>
                          <pic:cNvPicPr>
                            <a:picLocks noChangeAspect="1"/>
                          </pic:cNvPicPr>
                        </pic:nvPicPr>
                        <pic:blipFill>
                          <a:blip r:embed="rId9"/>
                          <a:stretch>
                            <a:fillRect/>
                          </a:stretch>
                        </pic:blipFill>
                        <pic:spPr>
                          <a:xfrm>
                            <a:off x="0" y="0"/>
                            <a:ext cx="4393565" cy="3360420"/>
                          </a:xfrm>
                          <a:prstGeom prst="rect">
                            <a:avLst/>
                          </a:prstGeom>
                          <a:noFill/>
                          <a:ln>
                            <a:noFill/>
                          </a:ln>
                        </pic:spPr>
                      </pic:pic>
                    </a:graphicData>
                  </a:graphic>
                </wp:inline>
              </w:drawing>
            </w:r>
          </w:p>
        </w:tc>
      </w:tr>
      <w:tr w14:paraId="09DDAE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2" w:hRule="atLeast"/>
        </w:trPr>
        <w:tc>
          <w:tcPr>
            <w:tcW w:w="9060" w:type="dxa"/>
          </w:tcPr>
          <w:p w14:paraId="5EE9DFE4">
            <w:pPr>
              <w:widowControl w:val="0"/>
              <w:spacing w:line="360" w:lineRule="auto"/>
              <w:jc w:val="center"/>
              <w:outlineLvl w:val="9"/>
              <w:rPr>
                <w:rFonts w:hint="eastAsia" w:ascii="宋体" w:hAnsi="宋体" w:eastAsia="宋体" w:cs="宋体"/>
                <w:vertAlign w:val="baseline"/>
                <w:lang w:val="en-US" w:eastAsia="zh-CN"/>
              </w:rPr>
            </w:pPr>
            <w:r>
              <w:rPr>
                <w:rFonts w:hint="eastAsia" w:ascii="宋体" w:hAnsi="宋体" w:eastAsia="宋体" w:cs="宋体"/>
                <w:b w:val="0"/>
                <w:spacing w:val="0"/>
                <w:kern w:val="2"/>
                <w:sz w:val="24"/>
                <w:szCs w:val="24"/>
                <w:lang w:val="en-US" w:eastAsia="zh-CN" w:bidi="ar-SA"/>
              </w:rPr>
              <w:t>图三、冷却塔绘画老师精致绘画</w:t>
            </w:r>
          </w:p>
        </w:tc>
      </w:tr>
      <w:tr w14:paraId="1E91EE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3" w:hRule="atLeast"/>
        </w:trPr>
        <w:tc>
          <w:tcPr>
            <w:tcW w:w="9060" w:type="dxa"/>
          </w:tcPr>
          <w:p w14:paraId="3B7355A1">
            <w:pPr>
              <w:widowControl w:val="0"/>
              <w:spacing w:line="360" w:lineRule="auto"/>
              <w:jc w:val="center"/>
              <w:outlineLvl w:val="9"/>
              <w:rPr>
                <w:rFonts w:hint="eastAsia" w:ascii="宋体" w:hAnsi="宋体" w:eastAsia="宋体" w:cs="宋体"/>
                <w:vertAlign w:val="baseline"/>
                <w:lang w:val="en-US" w:eastAsia="zh-CN"/>
              </w:rPr>
            </w:pPr>
            <w:r>
              <w:drawing>
                <wp:inline distT="0" distB="0" distL="114300" distR="114300">
                  <wp:extent cx="4418330" cy="4477385"/>
                  <wp:effectExtent l="0" t="0" r="1270" b="8890"/>
                  <wp:docPr id="7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4"/>
                          <pic:cNvPicPr>
                            <a:picLocks noChangeAspect="1"/>
                          </pic:cNvPicPr>
                        </pic:nvPicPr>
                        <pic:blipFill>
                          <a:blip r:embed="rId10"/>
                          <a:stretch>
                            <a:fillRect/>
                          </a:stretch>
                        </pic:blipFill>
                        <pic:spPr>
                          <a:xfrm>
                            <a:off x="0" y="0"/>
                            <a:ext cx="4418330" cy="4477385"/>
                          </a:xfrm>
                          <a:prstGeom prst="rect">
                            <a:avLst/>
                          </a:prstGeom>
                          <a:noFill/>
                          <a:ln>
                            <a:noFill/>
                          </a:ln>
                        </pic:spPr>
                      </pic:pic>
                    </a:graphicData>
                  </a:graphic>
                </wp:inline>
              </w:drawing>
            </w:r>
          </w:p>
        </w:tc>
      </w:tr>
    </w:tbl>
    <w:p w14:paraId="6E98B062">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tbl>
      <w:tblPr>
        <w:tblStyle w:val="16"/>
        <w:tblW w:w="854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70"/>
        <w:gridCol w:w="4270"/>
      </w:tblGrid>
      <w:tr w14:paraId="5981AC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2" w:hRule="atLeast"/>
        </w:trPr>
        <w:tc>
          <w:tcPr>
            <w:tcW w:w="4270" w:type="dxa"/>
          </w:tcPr>
          <w:p w14:paraId="1B3EE9F3">
            <w:pPr>
              <w:widowControl w:val="0"/>
              <w:spacing w:line="360" w:lineRule="auto"/>
              <w:jc w:val="center"/>
              <w:outlineLvl w:val="9"/>
              <w:rPr>
                <w:rFonts w:hint="eastAsia" w:ascii="宋体" w:hAnsi="宋体" w:eastAsia="宋体" w:cs="宋体"/>
                <w:b w:val="0"/>
                <w:spacing w:val="0"/>
                <w:kern w:val="2"/>
                <w:sz w:val="24"/>
                <w:szCs w:val="24"/>
                <w:lang w:val="en-US" w:eastAsia="zh-CN" w:bidi="ar-SA"/>
              </w:rPr>
            </w:pPr>
            <w:r>
              <w:rPr>
                <w:rFonts w:hint="eastAsia" w:ascii="宋体" w:hAnsi="宋体" w:eastAsia="宋体" w:cs="宋体"/>
                <w:b w:val="0"/>
                <w:spacing w:val="0"/>
                <w:kern w:val="2"/>
                <w:sz w:val="24"/>
                <w:szCs w:val="24"/>
                <w:lang w:val="en-US" w:eastAsia="zh-CN" w:bidi="ar-SA"/>
              </w:rPr>
              <w:t>图二、烟囱油漆工面漆涂装</w:t>
            </w:r>
          </w:p>
        </w:tc>
        <w:tc>
          <w:tcPr>
            <w:tcW w:w="4270" w:type="dxa"/>
          </w:tcPr>
          <w:p w14:paraId="113CFD43">
            <w:pPr>
              <w:widowControl w:val="0"/>
              <w:spacing w:line="360" w:lineRule="auto"/>
              <w:jc w:val="center"/>
              <w:outlineLvl w:val="9"/>
              <w:rPr>
                <w:rFonts w:hint="eastAsia" w:ascii="宋体" w:hAnsi="宋体" w:eastAsia="宋体" w:cs="宋体"/>
                <w:b w:val="0"/>
                <w:spacing w:val="0"/>
                <w:kern w:val="2"/>
                <w:sz w:val="24"/>
                <w:szCs w:val="24"/>
                <w:lang w:val="en-US" w:eastAsia="zh-CN" w:bidi="ar-SA"/>
              </w:rPr>
            </w:pPr>
            <w:r>
              <w:rPr>
                <w:rFonts w:hint="eastAsia" w:ascii="宋体" w:hAnsi="宋体" w:eastAsia="宋体" w:cs="宋体"/>
                <w:b w:val="0"/>
                <w:spacing w:val="0"/>
                <w:kern w:val="2"/>
                <w:sz w:val="24"/>
                <w:szCs w:val="24"/>
                <w:lang w:val="en-US" w:eastAsia="zh-CN" w:bidi="ar-SA"/>
              </w:rPr>
              <w:t>图三、烟囱绘画老师精致绘画</w:t>
            </w:r>
          </w:p>
        </w:tc>
      </w:tr>
      <w:tr w14:paraId="4EF778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87" w:hRule="atLeast"/>
        </w:trPr>
        <w:tc>
          <w:tcPr>
            <w:tcW w:w="4270" w:type="dxa"/>
          </w:tcPr>
          <w:p w14:paraId="2825E23A">
            <w:pPr>
              <w:widowControl w:val="0"/>
              <w:spacing w:line="360" w:lineRule="auto"/>
              <w:jc w:val="center"/>
              <w:outlineLvl w:val="9"/>
              <w:rPr>
                <w:rFonts w:hint="eastAsia" w:ascii="宋体" w:hAnsi="宋体" w:eastAsia="宋体" w:cs="宋体"/>
                <w:vertAlign w:val="baseline"/>
                <w:lang w:val="en-US" w:eastAsia="zh-CN"/>
              </w:rPr>
            </w:pPr>
            <w:r>
              <w:drawing>
                <wp:inline distT="0" distB="0" distL="114300" distR="114300">
                  <wp:extent cx="1276350" cy="6957695"/>
                  <wp:effectExtent l="0" t="0" r="0" b="5080"/>
                  <wp:docPr id="7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6"/>
                          <pic:cNvPicPr>
                            <a:picLocks noChangeAspect="1"/>
                          </pic:cNvPicPr>
                        </pic:nvPicPr>
                        <pic:blipFill>
                          <a:blip r:embed="rId11"/>
                          <a:stretch>
                            <a:fillRect/>
                          </a:stretch>
                        </pic:blipFill>
                        <pic:spPr>
                          <a:xfrm>
                            <a:off x="0" y="0"/>
                            <a:ext cx="1276350" cy="6957695"/>
                          </a:xfrm>
                          <a:prstGeom prst="rect">
                            <a:avLst/>
                          </a:prstGeom>
                          <a:noFill/>
                          <a:ln>
                            <a:noFill/>
                          </a:ln>
                        </pic:spPr>
                      </pic:pic>
                    </a:graphicData>
                  </a:graphic>
                </wp:inline>
              </w:drawing>
            </w:r>
          </w:p>
        </w:tc>
        <w:tc>
          <w:tcPr>
            <w:tcW w:w="4270" w:type="dxa"/>
          </w:tcPr>
          <w:p w14:paraId="6A8DBC7D">
            <w:pPr>
              <w:widowControl w:val="0"/>
              <w:spacing w:line="360" w:lineRule="auto"/>
              <w:jc w:val="center"/>
              <w:outlineLvl w:val="9"/>
              <w:rPr>
                <w:rFonts w:hint="eastAsia" w:ascii="宋体" w:hAnsi="宋体" w:eastAsia="宋体" w:cs="宋体"/>
                <w:vertAlign w:val="baseline"/>
                <w:lang w:val="en-US" w:eastAsia="zh-CN"/>
              </w:rPr>
            </w:pPr>
            <w:r>
              <w:drawing>
                <wp:inline distT="0" distB="0" distL="114300" distR="114300">
                  <wp:extent cx="1419225" cy="6983730"/>
                  <wp:effectExtent l="0" t="0" r="0" b="7620"/>
                  <wp:docPr id="7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5"/>
                          <pic:cNvPicPr>
                            <a:picLocks noChangeAspect="1"/>
                          </pic:cNvPicPr>
                        </pic:nvPicPr>
                        <pic:blipFill>
                          <a:blip r:embed="rId12"/>
                          <a:stretch>
                            <a:fillRect/>
                          </a:stretch>
                        </pic:blipFill>
                        <pic:spPr>
                          <a:xfrm>
                            <a:off x="0" y="0"/>
                            <a:ext cx="1419225" cy="6983730"/>
                          </a:xfrm>
                          <a:prstGeom prst="rect">
                            <a:avLst/>
                          </a:prstGeom>
                          <a:noFill/>
                          <a:ln>
                            <a:noFill/>
                          </a:ln>
                        </pic:spPr>
                      </pic:pic>
                    </a:graphicData>
                  </a:graphic>
                </wp:inline>
              </w:drawing>
            </w:r>
          </w:p>
        </w:tc>
      </w:tr>
    </w:tbl>
    <w:p w14:paraId="6F200FA0">
      <w:pPr>
        <w:rPr>
          <w:rFonts w:hint="eastAsia" w:ascii="宋体" w:hAnsi="宋体" w:eastAsia="宋体" w:cs="宋体"/>
          <w:b/>
          <w:bCs/>
          <w:sz w:val="24"/>
          <w:lang w:val="en-US" w:eastAsia="zh-CN"/>
        </w:rPr>
      </w:pPr>
      <w:r>
        <w:rPr>
          <w:rFonts w:hint="eastAsia" w:ascii="宋体" w:hAnsi="宋体" w:eastAsia="宋体" w:cs="宋体"/>
          <w:b/>
          <w:bCs/>
          <w:sz w:val="24"/>
          <w:lang w:val="en-US" w:eastAsia="zh-CN"/>
        </w:rPr>
        <w:br w:type="page"/>
      </w:r>
    </w:p>
    <w:p w14:paraId="62974509">
      <w:pPr>
        <w:spacing w:line="360" w:lineRule="auto"/>
        <w:ind w:firstLine="482" w:firstLineChars="200"/>
        <w:jc w:val="both"/>
        <w:outlineLvl w:val="0"/>
        <w:rPr>
          <w:rFonts w:ascii="宋体" w:hAnsi="宋体" w:eastAsia="宋体" w:cs="宋体"/>
          <w:b/>
          <w:bCs/>
          <w:sz w:val="24"/>
        </w:rPr>
      </w:pPr>
      <w:r>
        <w:rPr>
          <w:rFonts w:hint="eastAsia" w:ascii="宋体" w:hAnsi="宋体" w:eastAsia="宋体" w:cs="宋体"/>
          <w:b/>
          <w:bCs/>
          <w:sz w:val="24"/>
          <w:lang w:val="en-US" w:eastAsia="zh-CN"/>
        </w:rPr>
        <w:t>五</w:t>
      </w:r>
      <w:r>
        <w:rPr>
          <w:rFonts w:hint="eastAsia" w:ascii="宋体" w:hAnsi="宋体" w:eastAsia="宋体" w:cs="宋体"/>
          <w:b/>
          <w:bCs/>
          <w:sz w:val="24"/>
        </w:rPr>
        <w:t>、涂装质量控制</w:t>
      </w:r>
    </w:p>
    <w:p w14:paraId="62920950">
      <w:pPr>
        <w:spacing w:line="360" w:lineRule="auto"/>
        <w:ind w:firstLine="480" w:firstLineChars="200"/>
        <w:rPr>
          <w:rFonts w:ascii="宋体" w:hAnsi="宋体" w:eastAsia="宋体" w:cs="宋体"/>
          <w:sz w:val="24"/>
        </w:rPr>
      </w:pPr>
      <w:r>
        <w:rPr>
          <w:rFonts w:hint="eastAsia" w:ascii="宋体" w:hAnsi="宋体" w:eastAsia="宋体" w:cs="宋体"/>
          <w:sz w:val="24"/>
        </w:rPr>
        <w:t>涂漆期时，相对湿度不能大于85％，</w:t>
      </w:r>
    </w:p>
    <w:p w14:paraId="6DFBE604">
      <w:pPr>
        <w:spacing w:line="360" w:lineRule="auto"/>
        <w:ind w:firstLine="480" w:firstLineChars="200"/>
        <w:rPr>
          <w:rFonts w:ascii="宋体" w:hAnsi="宋体" w:eastAsia="宋体" w:cs="宋体"/>
          <w:sz w:val="24"/>
        </w:rPr>
      </w:pPr>
      <w:r>
        <w:rPr>
          <w:rFonts w:hint="eastAsia" w:ascii="宋体" w:hAnsi="宋体" w:eastAsia="宋体" w:cs="宋体"/>
          <w:sz w:val="24"/>
        </w:rPr>
        <w:t xml:space="preserve">表面温度要至少高于露点温度3℃。 </w:t>
      </w:r>
    </w:p>
    <w:p w14:paraId="484807DE">
      <w:pPr>
        <w:spacing w:line="360" w:lineRule="auto"/>
        <w:ind w:firstLine="480" w:firstLineChars="200"/>
        <w:rPr>
          <w:rFonts w:ascii="宋体" w:hAnsi="宋体" w:eastAsia="宋体" w:cs="宋体"/>
          <w:sz w:val="24"/>
        </w:rPr>
      </w:pPr>
      <w:r>
        <w:rPr>
          <w:rFonts w:hint="eastAsia" w:ascii="宋体" w:hAnsi="宋体" w:eastAsia="宋体" w:cs="宋体"/>
          <w:sz w:val="24"/>
        </w:rPr>
        <w:t xml:space="preserve">雨天、下雪以及大风的天气条件不宜涂漆作业。 </w:t>
      </w:r>
    </w:p>
    <w:p w14:paraId="108C18E6">
      <w:pPr>
        <w:spacing w:line="360" w:lineRule="auto"/>
        <w:ind w:firstLine="480" w:firstLineChars="200"/>
        <w:rPr>
          <w:rFonts w:ascii="宋体" w:hAnsi="宋体" w:eastAsia="宋体" w:cs="宋体"/>
          <w:sz w:val="24"/>
        </w:rPr>
      </w:pPr>
      <w:r>
        <w:rPr>
          <w:rFonts w:hint="eastAsia" w:ascii="宋体" w:hAnsi="宋体" w:eastAsia="宋体" w:cs="宋体"/>
          <w:sz w:val="24"/>
        </w:rPr>
        <w:t xml:space="preserve">涂漆作业要在清洁的环境下进行，避免新的涂层被灰尘等污染。 </w:t>
      </w:r>
    </w:p>
    <w:p w14:paraId="63C49B47">
      <w:pPr>
        <w:spacing w:line="360" w:lineRule="auto"/>
        <w:ind w:firstLine="480" w:firstLineChars="200"/>
        <w:rPr>
          <w:rFonts w:ascii="宋体" w:hAnsi="宋体" w:eastAsia="宋体" w:cs="宋体"/>
          <w:sz w:val="24"/>
        </w:rPr>
      </w:pPr>
      <w:r>
        <w:rPr>
          <w:rFonts w:hint="eastAsia" w:ascii="宋体" w:hAnsi="宋体" w:eastAsia="宋体" w:cs="宋体"/>
          <w:sz w:val="24"/>
        </w:rPr>
        <w:t xml:space="preserve">涂料系统各涂层之间的涂覆间隔时间应严格按照涂料制造厂的规定执行。不能在少于最小涂装间隔时间的情况下进行施工，如果超过其最长涂装间隔，则应将前一道涂层用粗砂纸打毛后再进行涂漆，以保证涂层间的附着力。 </w:t>
      </w:r>
    </w:p>
    <w:p w14:paraId="5E0D3CB7">
      <w:pPr>
        <w:spacing w:line="360" w:lineRule="auto"/>
        <w:ind w:firstLine="480" w:firstLineChars="200"/>
        <w:rPr>
          <w:rFonts w:ascii="宋体" w:hAnsi="宋体" w:eastAsia="宋体" w:cs="宋体"/>
          <w:sz w:val="24"/>
        </w:rPr>
      </w:pPr>
      <w:r>
        <w:rPr>
          <w:rFonts w:hint="eastAsia" w:ascii="宋体" w:hAnsi="宋体" w:eastAsia="宋体" w:cs="宋体"/>
          <w:sz w:val="24"/>
        </w:rPr>
        <w:t xml:space="preserve">在下道漆施工之前，必须对前道涂层进行缺陷修正，以及表面的清洁工作，清除法油污、灰尘等。 </w:t>
      </w:r>
    </w:p>
    <w:p w14:paraId="260D00AE">
      <w:pPr>
        <w:spacing w:line="360" w:lineRule="auto"/>
        <w:ind w:firstLine="480" w:firstLineChars="200"/>
        <w:rPr>
          <w:rFonts w:ascii="宋体" w:hAnsi="宋体" w:eastAsia="宋体" w:cs="宋体"/>
          <w:sz w:val="24"/>
        </w:rPr>
      </w:pPr>
      <w:r>
        <w:rPr>
          <w:rFonts w:hint="eastAsia" w:ascii="宋体" w:hAnsi="宋体" w:eastAsia="宋体" w:cs="宋体"/>
          <w:sz w:val="24"/>
        </w:rPr>
        <w:t>涂装过程中，避免把涂料放在太阳直射下，应该把准备施工和正在施工中涂料放在阴凉的地方。在低温季节，涂料要在室温下贮存，施工时最好放在温度较高的地方。</w:t>
      </w:r>
    </w:p>
    <w:p w14:paraId="6F14865A">
      <w:pPr>
        <w:spacing w:line="360" w:lineRule="auto"/>
        <w:ind w:firstLine="480" w:firstLineChars="200"/>
        <w:rPr>
          <w:rFonts w:ascii="宋体" w:hAnsi="宋体" w:eastAsia="宋体" w:cs="宋体"/>
          <w:sz w:val="24"/>
        </w:rPr>
      </w:pPr>
      <w:r>
        <w:rPr>
          <w:rFonts w:hint="eastAsia" w:ascii="宋体" w:hAnsi="宋体" w:eastAsia="宋体" w:cs="宋体"/>
          <w:sz w:val="24"/>
        </w:rPr>
        <w:t>高耸建筑物的涂刷彩绘为高空作业，应佩带安全帽和安全带。专用的施工机具，如：吊笼、小车等应有可靠的安全措施。涂刷施工中应做好防火、防毒、防高空坠落等。</w:t>
      </w:r>
    </w:p>
    <w:p w14:paraId="0F9EA8C2">
      <w:pPr>
        <w:spacing w:line="360" w:lineRule="auto"/>
        <w:ind w:firstLine="480" w:firstLineChars="200"/>
        <w:rPr>
          <w:rFonts w:ascii="宋体" w:hAnsi="宋体" w:eastAsia="宋体" w:cs="宋体"/>
          <w:sz w:val="24"/>
        </w:rPr>
      </w:pPr>
      <w:r>
        <w:rPr>
          <w:rFonts w:hint="eastAsia" w:ascii="宋体" w:hAnsi="宋体" w:eastAsia="宋体" w:cs="宋体"/>
          <w:sz w:val="24"/>
          <w:lang w:val="en-US" w:eastAsia="zh-CN"/>
        </w:rPr>
        <w:t>5.1</w:t>
      </w:r>
      <w:r>
        <w:rPr>
          <w:rFonts w:hint="eastAsia" w:ascii="宋体" w:hAnsi="宋体" w:eastAsia="宋体" w:cs="宋体"/>
          <w:sz w:val="24"/>
        </w:rPr>
        <w:t>油漆的准备和使用</w:t>
      </w:r>
    </w:p>
    <w:p w14:paraId="2868149A">
      <w:pPr>
        <w:spacing w:line="360" w:lineRule="auto"/>
        <w:ind w:firstLine="480" w:firstLineChars="200"/>
        <w:rPr>
          <w:rFonts w:ascii="宋体" w:hAnsi="宋体" w:eastAsia="宋体" w:cs="宋体"/>
          <w:sz w:val="24"/>
        </w:rPr>
      </w:pPr>
      <w:r>
        <w:rPr>
          <w:rFonts w:hint="eastAsia" w:ascii="宋体" w:hAnsi="宋体" w:eastAsia="宋体" w:cs="宋体"/>
          <w:sz w:val="24"/>
        </w:rPr>
        <w:t>任何油漆在经过一段时间的放置后，会有不同程度的沉淀和分层。所以在开罐后，就用电动搅拌或搅棒将其完全搅拌均匀后再使用，否则，将影响油漆的成膜品质。</w:t>
      </w:r>
    </w:p>
    <w:p w14:paraId="688E916C">
      <w:pPr>
        <w:spacing w:line="360" w:lineRule="auto"/>
        <w:ind w:firstLine="480" w:firstLineChars="200"/>
        <w:rPr>
          <w:rFonts w:ascii="宋体" w:hAnsi="宋体" w:eastAsia="宋体" w:cs="宋体"/>
          <w:sz w:val="24"/>
        </w:rPr>
      </w:pPr>
      <w:r>
        <w:rPr>
          <w:rFonts w:hint="eastAsia" w:ascii="宋体" w:hAnsi="宋体" w:eastAsia="宋体" w:cs="宋体"/>
          <w:sz w:val="24"/>
        </w:rPr>
        <w:t>双组份油漆的主漆和固化剂一旦混合后有一定的使用时间。超过使用时间后，油漆会逐渐变得难以施工，直至完全不能施工。因此，要注意用多少就混合多少，以免造成浪费。</w:t>
      </w:r>
    </w:p>
    <w:p w14:paraId="7BACCB64">
      <w:pPr>
        <w:spacing w:line="360" w:lineRule="auto"/>
        <w:ind w:firstLine="480" w:firstLineChars="200"/>
        <w:rPr>
          <w:rFonts w:ascii="宋体" w:hAnsi="宋体" w:eastAsia="宋体" w:cs="宋体"/>
          <w:sz w:val="24"/>
        </w:rPr>
      </w:pPr>
      <w:r>
        <w:rPr>
          <w:rFonts w:hint="eastAsia" w:ascii="宋体" w:hAnsi="宋体" w:eastAsia="宋体" w:cs="宋体"/>
          <w:sz w:val="24"/>
        </w:rPr>
        <w:t>主漆与固化剂的比例是经过计算和经验得出的最佳配合比，一定要严格遵守。</w:t>
      </w:r>
    </w:p>
    <w:p w14:paraId="69BC4B90">
      <w:pPr>
        <w:spacing w:line="360" w:lineRule="auto"/>
        <w:ind w:firstLine="480" w:firstLineChars="200"/>
        <w:rPr>
          <w:rFonts w:ascii="宋体" w:hAnsi="宋体" w:eastAsia="宋体" w:cs="宋体"/>
          <w:sz w:val="24"/>
        </w:rPr>
      </w:pPr>
      <w:r>
        <w:rPr>
          <w:rFonts w:hint="eastAsia" w:ascii="宋体" w:hAnsi="宋体" w:eastAsia="宋体" w:cs="宋体"/>
          <w:sz w:val="24"/>
        </w:rPr>
        <w:t>主漆和固化剂混合后，一定要搅拌至完全混合均匀才能使用。最后一道彩绘喷涂为单组份材料，无需添加固化剂。</w:t>
      </w:r>
    </w:p>
    <w:p w14:paraId="27C69646">
      <w:pPr>
        <w:spacing w:line="360" w:lineRule="auto"/>
        <w:ind w:firstLine="480" w:firstLineChars="200"/>
        <w:rPr>
          <w:rFonts w:ascii="宋体" w:hAnsi="宋体" w:eastAsia="宋体" w:cs="宋体"/>
          <w:sz w:val="24"/>
        </w:rPr>
      </w:pPr>
      <w:r>
        <w:rPr>
          <w:rFonts w:hint="eastAsia" w:ascii="宋体" w:hAnsi="宋体" w:eastAsia="宋体" w:cs="宋体"/>
          <w:sz w:val="24"/>
          <w:lang w:val="en-US" w:eastAsia="zh-CN"/>
        </w:rPr>
        <w:t>5.2</w:t>
      </w:r>
      <w:r>
        <w:rPr>
          <w:rFonts w:hint="eastAsia" w:ascii="宋体" w:hAnsi="宋体" w:eastAsia="宋体" w:cs="宋体"/>
          <w:sz w:val="24"/>
        </w:rPr>
        <w:t>膜厚的控制</w:t>
      </w:r>
    </w:p>
    <w:p w14:paraId="41B4AF48">
      <w:pPr>
        <w:spacing w:line="360" w:lineRule="auto"/>
        <w:ind w:firstLine="480" w:firstLineChars="200"/>
        <w:rPr>
          <w:rFonts w:ascii="宋体" w:hAnsi="宋体" w:eastAsia="宋体" w:cs="宋体"/>
          <w:sz w:val="24"/>
        </w:rPr>
      </w:pPr>
      <w:r>
        <w:rPr>
          <w:rFonts w:hint="eastAsia" w:ascii="宋体" w:hAnsi="宋体" w:eastAsia="宋体" w:cs="宋体"/>
          <w:sz w:val="24"/>
        </w:rPr>
        <w:t>a. 施工时，须进行湿膜厚度的检查，以做到对所喷的干膜厚度有一个相对的预测。施工各道油漆时，要注意漆膜均匀，并达到规定的漆膜厚度，以保证涂装质量及保证年限。</w:t>
      </w:r>
    </w:p>
    <w:p w14:paraId="78DC535F">
      <w:pPr>
        <w:spacing w:line="360" w:lineRule="auto"/>
        <w:ind w:firstLine="480" w:firstLineChars="200"/>
        <w:rPr>
          <w:rFonts w:ascii="宋体" w:hAnsi="宋体" w:eastAsia="宋体" w:cs="宋体"/>
          <w:sz w:val="24"/>
        </w:rPr>
      </w:pPr>
      <w:r>
        <w:rPr>
          <w:rFonts w:hint="eastAsia" w:ascii="宋体" w:hAnsi="宋体" w:eastAsia="宋体" w:cs="宋体"/>
          <w:sz w:val="24"/>
        </w:rPr>
        <w:t>b. 漆膜厚度的检测工具：湿膜测厚仪</w:t>
      </w:r>
    </w:p>
    <w:p w14:paraId="1529CFCC">
      <w:pPr>
        <w:spacing w:line="360" w:lineRule="auto"/>
        <w:ind w:firstLine="480" w:firstLineChars="200"/>
        <w:rPr>
          <w:rFonts w:ascii="宋体" w:hAnsi="宋体" w:eastAsia="宋体" w:cs="宋体"/>
          <w:sz w:val="24"/>
        </w:rPr>
      </w:pPr>
      <w:r>
        <w:rPr>
          <w:rFonts w:hint="eastAsia" w:ascii="宋体" w:hAnsi="宋体" w:eastAsia="宋体" w:cs="宋体"/>
          <w:sz w:val="24"/>
        </w:rPr>
        <w:t>c. 湿膜的检测方法：油漆喷涂后马上用湿膜测厚仪垂直按入湿膜直至接触到底材，然后取出测厚仪读取数值。</w:t>
      </w:r>
    </w:p>
    <w:p w14:paraId="4DD0D38E">
      <w:pPr>
        <w:spacing w:line="360" w:lineRule="auto"/>
        <w:ind w:firstLine="480" w:firstLineChars="200"/>
        <w:rPr>
          <w:rFonts w:ascii="宋体" w:hAnsi="宋体" w:eastAsia="宋体" w:cs="宋体"/>
          <w:sz w:val="24"/>
        </w:rPr>
      </w:pPr>
      <w:r>
        <w:rPr>
          <w:rFonts w:hint="eastAsia" w:ascii="宋体" w:hAnsi="宋体" w:eastAsia="宋体" w:cs="宋体"/>
          <w:sz w:val="24"/>
        </w:rPr>
        <w:t>d. 湿膜厚度与干膜厚度的相应值:</w:t>
      </w:r>
    </w:p>
    <w:p w14:paraId="0DB17D3B">
      <w:pPr>
        <w:spacing w:line="360" w:lineRule="auto"/>
        <w:ind w:firstLine="480" w:firstLineChars="200"/>
        <w:rPr>
          <w:rFonts w:ascii="宋体" w:hAnsi="宋体" w:eastAsia="宋体" w:cs="宋体"/>
          <w:sz w:val="24"/>
        </w:rPr>
      </w:pPr>
      <w:r>
        <w:rPr>
          <w:rFonts w:hint="eastAsia" w:ascii="宋体" w:hAnsi="宋体" w:eastAsia="宋体" w:cs="宋体"/>
          <w:sz w:val="24"/>
          <w:lang w:val="en-US" w:eastAsia="zh-CN"/>
        </w:rPr>
        <w:t>5.3</w:t>
      </w:r>
      <w:r>
        <w:rPr>
          <w:rFonts w:hint="eastAsia" w:ascii="宋体" w:hAnsi="宋体" w:eastAsia="宋体" w:cs="宋体"/>
          <w:sz w:val="24"/>
        </w:rPr>
        <w:t>由于常用的磁性干膜测厚仪不适合混凝土表面，因此采用以下三种方法并用进行膜厚控制：</w:t>
      </w:r>
    </w:p>
    <w:p w14:paraId="055AC6B5">
      <w:pPr>
        <w:spacing w:line="360" w:lineRule="auto"/>
        <w:ind w:firstLine="480" w:firstLineChars="200"/>
        <w:rPr>
          <w:rFonts w:ascii="宋体" w:hAnsi="宋体" w:eastAsia="宋体" w:cs="宋体"/>
          <w:sz w:val="24"/>
        </w:rPr>
      </w:pPr>
      <w:r>
        <w:rPr>
          <w:rFonts w:hint="eastAsia" w:ascii="宋体" w:hAnsi="宋体" w:eastAsia="宋体" w:cs="宋体"/>
          <w:sz w:val="24"/>
        </w:rPr>
        <w:t>a.施工时进行湿膜厚度检查</w:t>
      </w:r>
    </w:p>
    <w:p w14:paraId="7B264937">
      <w:pPr>
        <w:spacing w:line="360" w:lineRule="auto"/>
        <w:ind w:firstLine="480" w:firstLineChars="200"/>
        <w:rPr>
          <w:rFonts w:ascii="宋体" w:hAnsi="宋体" w:eastAsia="宋体" w:cs="宋体"/>
          <w:sz w:val="24"/>
        </w:rPr>
      </w:pPr>
      <w:r>
        <w:rPr>
          <w:rFonts w:hint="eastAsia" w:ascii="宋体" w:hAnsi="宋体" w:eastAsia="宋体" w:cs="宋体"/>
          <w:sz w:val="24"/>
        </w:rPr>
        <w:t>b. 在喷涂涂料时在喷涂基材的表面放一块钢板，漆膜干燥后测干膜厚度，该数据可以客观表征完全相同条件下的混凝土表面干膜厚度。即使用试板测量法（采用电子干膜测厚仪）。</w:t>
      </w:r>
    </w:p>
    <w:p w14:paraId="7F13B438">
      <w:pPr>
        <w:spacing w:line="360" w:lineRule="auto"/>
        <w:ind w:firstLine="480" w:firstLineChars="200"/>
        <w:rPr>
          <w:rFonts w:ascii="宋体" w:hAnsi="宋体" w:eastAsia="宋体" w:cs="宋体"/>
          <w:sz w:val="24"/>
        </w:rPr>
      </w:pPr>
      <w:r>
        <w:rPr>
          <w:rFonts w:hint="eastAsia" w:ascii="宋体" w:hAnsi="宋体" w:eastAsia="宋体" w:cs="宋体"/>
          <w:sz w:val="24"/>
        </w:rPr>
        <w:t>c．大面积施工时可根据使用量及涂刷面积来推算干膜厚度。即单位面积上定量涂料（事先计算出施工面积和涂料用量）</w:t>
      </w:r>
    </w:p>
    <w:p w14:paraId="37E230F0">
      <w:pPr>
        <w:spacing w:line="360" w:lineRule="auto"/>
        <w:ind w:firstLine="480" w:firstLineChars="200"/>
        <w:rPr>
          <w:rFonts w:ascii="宋体" w:hAnsi="宋体" w:eastAsia="宋体" w:cs="宋体"/>
          <w:sz w:val="24"/>
        </w:rPr>
      </w:pPr>
      <w:r>
        <w:rPr>
          <w:rFonts w:hint="eastAsia" w:ascii="宋体" w:hAnsi="宋体" w:eastAsia="宋体" w:cs="宋体"/>
          <w:sz w:val="24"/>
          <w:lang w:val="en-US" w:eastAsia="zh-CN"/>
        </w:rPr>
        <w:t>5.4</w:t>
      </w:r>
      <w:r>
        <w:rPr>
          <w:rFonts w:hint="eastAsia" w:ascii="宋体" w:hAnsi="宋体" w:eastAsia="宋体" w:cs="宋体"/>
          <w:sz w:val="24"/>
        </w:rPr>
        <w:t>膜厚控制原则：</w:t>
      </w:r>
    </w:p>
    <w:p w14:paraId="0C5C7953">
      <w:pPr>
        <w:spacing w:line="360" w:lineRule="auto"/>
        <w:ind w:firstLine="480" w:firstLineChars="200"/>
        <w:rPr>
          <w:rFonts w:ascii="宋体" w:hAnsi="宋体" w:eastAsia="宋体" w:cs="宋体"/>
          <w:sz w:val="24"/>
        </w:rPr>
      </w:pPr>
      <w:r>
        <w:rPr>
          <w:rFonts w:hint="eastAsia" w:ascii="宋体" w:hAnsi="宋体" w:eastAsia="宋体" w:cs="宋体"/>
          <w:sz w:val="24"/>
        </w:rPr>
        <w:t>膜厚的控制应遵守两个85％的规定，即85％的测点应在规定膜厚以上，余下的15％的测点应达到规定膜厚的85％。测点的密度应根据施工面积的大小而定。</w:t>
      </w:r>
    </w:p>
    <w:p w14:paraId="7D008A38">
      <w:pPr>
        <w:spacing w:line="360" w:lineRule="auto"/>
        <w:ind w:firstLine="480" w:firstLineChars="200"/>
        <w:rPr>
          <w:rFonts w:ascii="宋体" w:hAnsi="宋体" w:eastAsia="宋体" w:cs="宋体"/>
          <w:sz w:val="24"/>
        </w:rPr>
      </w:pPr>
      <w:r>
        <w:rPr>
          <w:rFonts w:hint="eastAsia" w:ascii="宋体" w:hAnsi="宋体" w:eastAsia="宋体" w:cs="宋体"/>
          <w:sz w:val="24"/>
          <w:lang w:val="en-US" w:eastAsia="zh-CN"/>
        </w:rPr>
        <w:t>5.5</w:t>
      </w:r>
      <w:r>
        <w:rPr>
          <w:rFonts w:hint="eastAsia" w:ascii="宋体" w:hAnsi="宋体" w:eastAsia="宋体" w:cs="宋体"/>
          <w:sz w:val="24"/>
        </w:rPr>
        <w:t>涂装间隔期</w:t>
      </w:r>
    </w:p>
    <w:p w14:paraId="00593051">
      <w:pPr>
        <w:spacing w:line="360" w:lineRule="auto"/>
        <w:ind w:firstLine="480" w:firstLineChars="200"/>
        <w:rPr>
          <w:rFonts w:ascii="宋体" w:hAnsi="宋体" w:eastAsia="宋体" w:cs="宋体"/>
          <w:sz w:val="24"/>
        </w:rPr>
      </w:pPr>
      <w:r>
        <w:rPr>
          <w:rFonts w:hint="eastAsia" w:ascii="宋体" w:hAnsi="宋体" w:eastAsia="宋体" w:cs="宋体"/>
          <w:sz w:val="24"/>
        </w:rPr>
        <w:t>a. 一道漆涂装完毕后，在进行下道漆涂装之前，一定要确认是否已达到规定的涂装间隔时间，否则就不能进行涂装。对于双组份类油漆，除了要保证最短涂装间隔时间以后涂装，还要注意在最长涂装间隔时间以内涂装。最好是在最短涂装间隔时间到了以后，马上就进行下道漆的涂装，以保证优良的层间附着力。</w:t>
      </w:r>
    </w:p>
    <w:p w14:paraId="6FDED5FF">
      <w:pPr>
        <w:spacing w:line="360" w:lineRule="auto"/>
        <w:ind w:firstLine="480" w:firstLineChars="200"/>
        <w:rPr>
          <w:rFonts w:ascii="宋体" w:hAnsi="宋体" w:eastAsia="宋体" w:cs="宋体"/>
          <w:sz w:val="24"/>
        </w:rPr>
      </w:pPr>
      <w:r>
        <w:rPr>
          <w:rFonts w:hint="eastAsia" w:ascii="宋体" w:hAnsi="宋体" w:eastAsia="宋体" w:cs="宋体"/>
          <w:sz w:val="24"/>
        </w:rPr>
        <w:t>b. 如果在过了最长涂装间隔时间以后再进行涂装，则应该用细砂纸将前道漆打毛后，并清除尘土、杂质以后再进行涂装。</w:t>
      </w:r>
    </w:p>
    <w:p w14:paraId="3DCF3317">
      <w:pPr>
        <w:spacing w:line="360" w:lineRule="auto"/>
        <w:ind w:firstLine="480" w:firstLineChars="200"/>
        <w:rPr>
          <w:rFonts w:ascii="宋体" w:hAnsi="宋体" w:eastAsia="宋体" w:cs="宋体"/>
          <w:sz w:val="24"/>
        </w:rPr>
      </w:pPr>
      <w:r>
        <w:rPr>
          <w:rFonts w:hint="eastAsia" w:ascii="宋体" w:hAnsi="宋体" w:eastAsia="宋体" w:cs="宋体"/>
          <w:sz w:val="24"/>
        </w:rPr>
        <w:t>该高耸建筑物塔体的面积巨大且为高空作业，建议施工方将吊篮安装后把一个区域的各道涂层施工完毕后再移动吊篮到下一个区域，这样可以保证在最长覆涂间隔以内进行下道涂层施工，避免因为涂装间隔过长造成的层间附着力不良的问题。</w:t>
      </w:r>
    </w:p>
    <w:p w14:paraId="393D26C8">
      <w:pPr>
        <w:spacing w:line="360" w:lineRule="auto"/>
        <w:ind w:firstLine="480" w:firstLineChars="200"/>
        <w:rPr>
          <w:rFonts w:ascii="宋体" w:hAnsi="宋体" w:eastAsia="宋体" w:cs="宋体"/>
          <w:sz w:val="24"/>
        </w:rPr>
      </w:pPr>
      <w:r>
        <w:rPr>
          <w:rFonts w:hint="eastAsia" w:ascii="宋体" w:hAnsi="宋体" w:eastAsia="宋体" w:cs="宋体"/>
          <w:sz w:val="24"/>
        </w:rPr>
        <w:t>c. 油漆涂装后，在不长时间内遇到风雪、降雨、结露等高湿情况，漆膜会产生白化。在这种情况下覆涂，应先用溶剂擦拭或以砂纸打磨除去白化膜，才能保证层间附着力良好。</w:t>
      </w:r>
    </w:p>
    <w:p w14:paraId="35569D8C">
      <w:pPr>
        <w:spacing w:line="360" w:lineRule="auto"/>
        <w:ind w:firstLine="482" w:firstLineChars="200"/>
        <w:outlineLvl w:val="0"/>
        <w:rPr>
          <w:rFonts w:ascii="宋体" w:hAnsi="宋体" w:eastAsia="宋体" w:cs="宋体"/>
          <w:b/>
          <w:bCs/>
          <w:sz w:val="24"/>
        </w:rPr>
      </w:pPr>
      <w:r>
        <w:rPr>
          <w:rFonts w:hint="eastAsia" w:ascii="宋体" w:hAnsi="宋体" w:eastAsia="宋体" w:cs="宋体"/>
          <w:b/>
          <w:bCs/>
          <w:sz w:val="24"/>
          <w:lang w:val="en-US" w:eastAsia="zh-CN"/>
        </w:rPr>
        <w:t>六</w:t>
      </w:r>
      <w:r>
        <w:rPr>
          <w:rFonts w:hint="eastAsia" w:ascii="宋体" w:hAnsi="宋体" w:eastAsia="宋体" w:cs="宋体"/>
          <w:b/>
          <w:bCs/>
          <w:sz w:val="24"/>
          <w:lang w:eastAsia="zh-CN"/>
        </w:rPr>
        <w:t>、</w:t>
      </w:r>
      <w:r>
        <w:rPr>
          <w:rFonts w:hint="eastAsia" w:ascii="宋体" w:hAnsi="宋体" w:eastAsia="宋体" w:cs="宋体"/>
          <w:b/>
          <w:bCs/>
          <w:sz w:val="24"/>
        </w:rPr>
        <w:t>涂装环境的控制</w:t>
      </w:r>
    </w:p>
    <w:p w14:paraId="092107F2">
      <w:pPr>
        <w:spacing w:line="360" w:lineRule="auto"/>
        <w:ind w:firstLine="480" w:firstLineChars="200"/>
        <w:rPr>
          <w:rFonts w:ascii="宋体" w:hAnsi="宋体" w:eastAsia="宋体" w:cs="宋体"/>
          <w:sz w:val="24"/>
        </w:rPr>
      </w:pPr>
      <w:r>
        <w:rPr>
          <w:rFonts w:hint="eastAsia" w:ascii="宋体" w:hAnsi="宋体" w:eastAsia="宋体" w:cs="宋体"/>
          <w:sz w:val="24"/>
          <w:lang w:val="en-US" w:eastAsia="zh-CN"/>
        </w:rPr>
        <w:t>6.1</w:t>
      </w:r>
      <w:r>
        <w:rPr>
          <w:rFonts w:hint="eastAsia" w:ascii="宋体" w:hAnsi="宋体" w:eastAsia="宋体" w:cs="宋体"/>
          <w:sz w:val="24"/>
        </w:rPr>
        <w:t>施工前，除了前道涂层的表面要清洁、干燥外，还要注意底材温度要高于露点温度3℃以上，以免底材的凝露影响涂料的附着力。一般说来，在相对湿度低于85％的情况下，最低的底材可施工温度与环境温度基本相同，因此在相对湿度低于85％的情况下可以进行施工。</w:t>
      </w:r>
    </w:p>
    <w:p w14:paraId="5D07E010">
      <w:pPr>
        <w:spacing w:line="360" w:lineRule="auto"/>
        <w:ind w:firstLine="480" w:firstLineChars="200"/>
        <w:rPr>
          <w:rFonts w:ascii="宋体" w:hAnsi="宋体" w:eastAsia="宋体" w:cs="宋体"/>
          <w:sz w:val="24"/>
        </w:rPr>
      </w:pPr>
      <w:r>
        <w:rPr>
          <w:rFonts w:hint="eastAsia" w:ascii="宋体" w:hAnsi="宋体" w:eastAsia="宋体" w:cs="宋体"/>
          <w:sz w:val="24"/>
          <w:lang w:val="en-US" w:eastAsia="zh-CN"/>
        </w:rPr>
        <w:t>6.2</w:t>
      </w:r>
      <w:r>
        <w:rPr>
          <w:rFonts w:hint="eastAsia" w:ascii="宋体" w:hAnsi="宋体" w:eastAsia="宋体" w:cs="宋体"/>
          <w:sz w:val="24"/>
        </w:rPr>
        <w:t>喷涂时，应尽量保持喷枪与喷涂面保持直角，切忌斜角过大，即会浪费油漆，又可能造成漆膜表面的缺陷。</w:t>
      </w:r>
    </w:p>
    <w:p w14:paraId="40692632">
      <w:pPr>
        <w:spacing w:line="360" w:lineRule="auto"/>
        <w:ind w:firstLine="480" w:firstLineChars="200"/>
        <w:rPr>
          <w:rFonts w:ascii="宋体" w:hAnsi="宋体" w:eastAsia="宋体" w:cs="宋体"/>
          <w:sz w:val="24"/>
        </w:rPr>
      </w:pPr>
      <w:r>
        <w:rPr>
          <w:rFonts w:hint="eastAsia" w:ascii="宋体" w:hAnsi="宋体" w:eastAsia="宋体" w:cs="宋体"/>
          <w:sz w:val="24"/>
          <w:lang w:val="en-US" w:eastAsia="zh-CN"/>
        </w:rPr>
        <w:t>6.3</w:t>
      </w:r>
      <w:r>
        <w:rPr>
          <w:rFonts w:hint="eastAsia" w:ascii="宋体" w:hAnsi="宋体" w:eastAsia="宋体" w:cs="宋体"/>
          <w:sz w:val="24"/>
        </w:rPr>
        <w:t>在喷涂过程中，要注意避免较长时间的停顿，以免机器堵塞。</w:t>
      </w:r>
    </w:p>
    <w:p w14:paraId="76AED4D1">
      <w:pPr>
        <w:spacing w:line="360" w:lineRule="auto"/>
        <w:ind w:firstLine="480" w:firstLineChars="200"/>
        <w:rPr>
          <w:rFonts w:ascii="宋体" w:hAnsi="宋体" w:eastAsia="宋体" w:cs="宋体"/>
          <w:sz w:val="24"/>
        </w:rPr>
      </w:pPr>
      <w:r>
        <w:rPr>
          <w:rFonts w:hint="eastAsia" w:ascii="宋体" w:hAnsi="宋体" w:eastAsia="宋体" w:cs="宋体"/>
          <w:sz w:val="24"/>
          <w:lang w:val="en-US" w:eastAsia="zh-CN"/>
        </w:rPr>
        <w:t>6.4</w:t>
      </w:r>
      <w:r>
        <w:rPr>
          <w:rFonts w:hint="eastAsia" w:ascii="宋体" w:hAnsi="宋体" w:eastAsia="宋体" w:cs="宋体"/>
          <w:sz w:val="24"/>
        </w:rPr>
        <w:t>使用结束后，要及时将机器清洗干净。方法是用稀释剂在机器内循环。</w:t>
      </w:r>
    </w:p>
    <w:p w14:paraId="16EFE43D">
      <w:pPr>
        <w:spacing w:line="360" w:lineRule="auto"/>
        <w:ind w:firstLine="482" w:firstLineChars="200"/>
        <w:outlineLvl w:val="0"/>
        <w:rPr>
          <w:rFonts w:ascii="宋体" w:hAnsi="宋体" w:eastAsia="宋体" w:cs="宋体"/>
          <w:b/>
          <w:bCs/>
          <w:sz w:val="24"/>
        </w:rPr>
      </w:pPr>
      <w:r>
        <w:rPr>
          <w:rFonts w:hint="eastAsia" w:ascii="宋体" w:hAnsi="宋体" w:eastAsia="宋体" w:cs="宋体"/>
          <w:b/>
          <w:bCs/>
          <w:sz w:val="24"/>
          <w:lang w:val="en-US" w:eastAsia="zh-CN"/>
        </w:rPr>
        <w:t>七</w:t>
      </w:r>
      <w:r>
        <w:rPr>
          <w:rFonts w:hint="eastAsia" w:ascii="宋体" w:hAnsi="宋体" w:eastAsia="宋体" w:cs="宋体"/>
          <w:b/>
          <w:bCs/>
          <w:sz w:val="24"/>
          <w:lang w:eastAsia="zh-CN"/>
        </w:rPr>
        <w:t>、</w:t>
      </w:r>
      <w:r>
        <w:rPr>
          <w:rFonts w:hint="eastAsia" w:ascii="宋体" w:hAnsi="宋体" w:eastAsia="宋体" w:cs="宋体"/>
          <w:b/>
          <w:bCs/>
          <w:sz w:val="24"/>
        </w:rPr>
        <w:t>油漆的储存</w:t>
      </w:r>
    </w:p>
    <w:p w14:paraId="364D6B25">
      <w:pPr>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油漆的储存要注意以下几点：</w:t>
      </w:r>
    </w:p>
    <w:p w14:paraId="1D35F35F">
      <w:pPr>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A.存环境要阴凉、干燥</w:t>
      </w:r>
    </w:p>
    <w:p w14:paraId="38CF77A1">
      <w:pPr>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B.储存现场要保持通风</w:t>
      </w:r>
    </w:p>
    <w:p w14:paraId="0C36052F">
      <w:pPr>
        <w:spacing w:line="360" w:lineRule="auto"/>
        <w:ind w:firstLine="480" w:firstLineChars="200"/>
        <w:rPr>
          <w:rFonts w:hint="eastAsia" w:ascii="宋体" w:hAnsi="宋体" w:eastAsia="宋体" w:cs="宋体"/>
          <w:sz w:val="24"/>
        </w:rPr>
      </w:pPr>
      <w:r>
        <w:rPr>
          <w:rFonts w:hint="eastAsia" w:ascii="宋体" w:hAnsi="宋体" w:eastAsia="宋体" w:cs="宋体"/>
          <w:sz w:val="24"/>
        </w:rPr>
        <w:t>C.储存地点要远离火源</w:t>
      </w:r>
    </w:p>
    <w:p w14:paraId="3FA51DCA">
      <w:pPr>
        <w:spacing w:line="360" w:lineRule="auto"/>
        <w:ind w:firstLine="480" w:firstLineChars="200"/>
        <w:rPr>
          <w:rFonts w:hint="eastAsia" w:ascii="宋体" w:hAnsi="宋体" w:eastAsia="宋体" w:cs="宋体"/>
          <w:sz w:val="24"/>
        </w:rPr>
      </w:pPr>
      <w:r>
        <w:rPr>
          <w:rFonts w:hint="eastAsia" w:ascii="宋体" w:hAnsi="宋体" w:eastAsia="宋体" w:cs="宋体"/>
          <w:sz w:val="24"/>
        </w:rPr>
        <w:t>D.油漆包装要密封，并放置于室内</w:t>
      </w:r>
    </w:p>
    <w:p w14:paraId="45E83853">
      <w:pPr>
        <w:spacing w:line="360" w:lineRule="auto"/>
        <w:ind w:firstLine="480" w:firstLineChars="200"/>
        <w:rPr>
          <w:rFonts w:ascii="宋体" w:hAnsi="宋体" w:eastAsia="宋体" w:cs="宋体"/>
          <w:sz w:val="24"/>
        </w:rPr>
      </w:pPr>
      <w:r>
        <w:rPr>
          <w:rFonts w:hint="eastAsia" w:ascii="宋体" w:hAnsi="宋体" w:eastAsia="宋体" w:cs="宋体"/>
          <w:sz w:val="24"/>
        </w:rPr>
        <w:t>E.如果油漆的储存超过其储存期，则应该进行检查,若符合标准,则仍可继续使用。</w:t>
      </w:r>
    </w:p>
    <w:p w14:paraId="6403C7B0">
      <w:pPr>
        <w:spacing w:line="360" w:lineRule="auto"/>
        <w:ind w:firstLine="482" w:firstLineChars="200"/>
        <w:outlineLvl w:val="0"/>
        <w:rPr>
          <w:rFonts w:ascii="宋体" w:hAnsi="宋体" w:eastAsia="宋体" w:cs="宋体"/>
          <w:b/>
          <w:bCs/>
          <w:sz w:val="24"/>
        </w:rPr>
      </w:pPr>
      <w:r>
        <w:rPr>
          <w:rFonts w:hint="eastAsia" w:ascii="宋体" w:hAnsi="宋体" w:eastAsia="宋体" w:cs="宋体"/>
          <w:b/>
          <w:bCs/>
          <w:sz w:val="24"/>
          <w:lang w:val="en-US" w:eastAsia="zh-CN"/>
        </w:rPr>
        <w:t>八</w:t>
      </w:r>
      <w:r>
        <w:rPr>
          <w:rFonts w:hint="eastAsia" w:ascii="宋体" w:hAnsi="宋体" w:eastAsia="宋体" w:cs="宋体"/>
          <w:b/>
          <w:bCs/>
          <w:sz w:val="24"/>
          <w:lang w:eastAsia="zh-CN"/>
        </w:rPr>
        <w:t>、</w:t>
      </w:r>
      <w:r>
        <w:rPr>
          <w:rFonts w:hint="eastAsia" w:ascii="宋体" w:hAnsi="宋体" w:eastAsia="宋体" w:cs="宋体"/>
          <w:b/>
          <w:bCs/>
          <w:sz w:val="24"/>
        </w:rPr>
        <w:t>防腐工程的施工验收及资料</w:t>
      </w:r>
    </w:p>
    <w:p w14:paraId="6DEDD96A">
      <w:pPr>
        <w:spacing w:line="360" w:lineRule="auto"/>
        <w:ind w:firstLine="480" w:firstLineChars="200"/>
        <w:rPr>
          <w:rFonts w:hint="eastAsia" w:ascii="宋体" w:hAnsi="宋体" w:eastAsia="宋体" w:cs="宋体"/>
          <w:sz w:val="24"/>
        </w:rPr>
      </w:pPr>
      <w:r>
        <w:rPr>
          <w:rFonts w:hint="eastAsia" w:ascii="宋体" w:hAnsi="宋体" w:eastAsia="宋体" w:cs="宋体"/>
          <w:sz w:val="24"/>
        </w:rPr>
        <w:t>a.各种涂料出厂合格证或质量检验文件；</w:t>
      </w:r>
    </w:p>
    <w:p w14:paraId="0F6C31FD">
      <w:pPr>
        <w:spacing w:line="360" w:lineRule="auto"/>
        <w:ind w:firstLine="480" w:firstLineChars="200"/>
        <w:rPr>
          <w:rFonts w:hint="eastAsia" w:ascii="宋体" w:hAnsi="宋体" w:eastAsia="宋体" w:cs="宋体"/>
          <w:sz w:val="24"/>
        </w:rPr>
      </w:pPr>
      <w:r>
        <w:rPr>
          <w:rFonts w:hint="eastAsia" w:ascii="宋体" w:hAnsi="宋体" w:eastAsia="宋体" w:cs="宋体"/>
          <w:sz w:val="24"/>
        </w:rPr>
        <w:t>b.进场涂料质量检验文件；</w:t>
      </w:r>
    </w:p>
    <w:p w14:paraId="71D6225D">
      <w:pPr>
        <w:spacing w:line="360" w:lineRule="auto"/>
        <w:ind w:firstLine="480" w:firstLineChars="200"/>
        <w:rPr>
          <w:rFonts w:hint="eastAsia" w:ascii="宋体" w:hAnsi="宋体" w:eastAsia="宋体" w:cs="宋体"/>
          <w:sz w:val="24"/>
        </w:rPr>
      </w:pPr>
      <w:r>
        <w:rPr>
          <w:rFonts w:hint="eastAsia" w:ascii="宋体" w:hAnsi="宋体" w:eastAsia="宋体" w:cs="宋体"/>
          <w:sz w:val="24"/>
        </w:rPr>
        <w:t>c.混凝土表面缺陷修补材料质量检验文件；</w:t>
      </w:r>
    </w:p>
    <w:p w14:paraId="3779D890">
      <w:pPr>
        <w:spacing w:line="360" w:lineRule="auto"/>
        <w:ind w:firstLine="480" w:firstLineChars="200"/>
        <w:rPr>
          <w:rFonts w:hint="eastAsia" w:ascii="宋体" w:hAnsi="宋体" w:eastAsia="宋体" w:cs="宋体"/>
          <w:sz w:val="24"/>
        </w:rPr>
      </w:pPr>
      <w:r>
        <w:rPr>
          <w:rFonts w:hint="eastAsia" w:ascii="宋体" w:hAnsi="宋体" w:eastAsia="宋体" w:cs="宋体"/>
          <w:sz w:val="24"/>
        </w:rPr>
        <w:t>d.原设计文件或设计变更文件；</w:t>
      </w:r>
    </w:p>
    <w:p w14:paraId="7517C109">
      <w:pPr>
        <w:spacing w:line="360" w:lineRule="auto"/>
        <w:ind w:firstLine="480" w:firstLineChars="200"/>
        <w:rPr>
          <w:rFonts w:hint="eastAsia" w:ascii="宋体" w:hAnsi="宋体" w:eastAsia="宋体" w:cs="宋体"/>
          <w:sz w:val="24"/>
        </w:rPr>
      </w:pPr>
      <w:r>
        <w:rPr>
          <w:rFonts w:hint="eastAsia" w:ascii="宋体" w:hAnsi="宋体" w:eastAsia="宋体" w:cs="宋体"/>
          <w:sz w:val="24"/>
        </w:rPr>
        <w:t>e.各分项工程验收文件；</w:t>
      </w:r>
    </w:p>
    <w:p w14:paraId="165864B6">
      <w:pPr>
        <w:spacing w:line="360" w:lineRule="auto"/>
        <w:ind w:firstLine="480" w:firstLineChars="200"/>
        <w:rPr>
          <w:rFonts w:hint="eastAsia" w:ascii="宋体" w:hAnsi="宋体" w:eastAsia="宋体" w:cs="宋体"/>
          <w:sz w:val="24"/>
        </w:rPr>
      </w:pPr>
      <w:r>
        <w:rPr>
          <w:rFonts w:hint="eastAsia" w:ascii="宋体" w:hAnsi="宋体" w:eastAsia="宋体" w:cs="宋体"/>
          <w:sz w:val="24"/>
        </w:rPr>
        <w:t>f.混凝土表面处理及涂装施工记录（包括施工过程中对重大技术问题和其它质量检验问题的处理记录）；</w:t>
      </w:r>
    </w:p>
    <w:p w14:paraId="07606700">
      <w:pPr>
        <w:spacing w:line="360" w:lineRule="auto"/>
        <w:ind w:firstLine="480" w:firstLineChars="200"/>
        <w:rPr>
          <w:rFonts w:hint="eastAsia" w:ascii="宋体" w:hAnsi="宋体" w:eastAsia="宋体" w:cs="宋体"/>
          <w:sz w:val="24"/>
        </w:rPr>
      </w:pPr>
      <w:r>
        <w:rPr>
          <w:rFonts w:hint="eastAsia" w:ascii="宋体" w:hAnsi="宋体" w:eastAsia="宋体" w:cs="宋体"/>
          <w:sz w:val="24"/>
        </w:rPr>
        <w:t>g.修补和返工记录；</w:t>
      </w:r>
    </w:p>
    <w:p w14:paraId="050BE6DE">
      <w:pPr>
        <w:spacing w:line="360" w:lineRule="auto"/>
        <w:ind w:firstLine="480" w:firstLineChars="200"/>
        <w:rPr>
          <w:rFonts w:hint="eastAsia" w:ascii="宋体" w:hAnsi="宋体" w:eastAsia="宋体" w:cs="宋体"/>
          <w:sz w:val="24"/>
        </w:rPr>
      </w:pPr>
      <w:r>
        <w:rPr>
          <w:rFonts w:hint="eastAsia" w:ascii="宋体" w:hAnsi="宋体" w:eastAsia="宋体" w:cs="宋体"/>
          <w:sz w:val="24"/>
        </w:rPr>
        <w:t>h.其它涉及涂层质量的相关记录。</w:t>
      </w:r>
    </w:p>
    <w:p w14:paraId="2E62B911">
      <w:pPr>
        <w:tabs>
          <w:tab w:val="left" w:pos="3465"/>
        </w:tabs>
        <w:spacing w:line="360" w:lineRule="auto"/>
        <w:ind w:firstLine="480" w:firstLineChars="200"/>
        <w:rPr>
          <w:rFonts w:hint="eastAsia" w:ascii="宋体" w:hAnsi="宋体" w:eastAsia="宋体" w:cs="宋体"/>
          <w:sz w:val="24"/>
        </w:rPr>
      </w:pPr>
      <w:r>
        <w:rPr>
          <w:rFonts w:hint="eastAsia" w:ascii="宋体" w:hAnsi="宋体" w:eastAsia="宋体" w:cs="宋体"/>
          <w:sz w:val="24"/>
          <w:lang w:val="en-US" w:eastAsia="zh-CN"/>
        </w:rPr>
        <w:t>8.1</w:t>
      </w:r>
      <w:r>
        <w:rPr>
          <w:rFonts w:hint="eastAsia" w:ascii="宋体" w:hAnsi="宋体" w:eastAsia="宋体" w:cs="宋体"/>
          <w:sz w:val="24"/>
        </w:rPr>
        <w:t>涂层检查与验收</w:t>
      </w:r>
    </w:p>
    <w:p w14:paraId="4B22500B">
      <w:pPr>
        <w:tabs>
          <w:tab w:val="left" w:pos="3465"/>
        </w:tabs>
        <w:spacing w:line="360" w:lineRule="auto"/>
        <w:ind w:firstLine="480" w:firstLineChars="200"/>
        <w:rPr>
          <w:rFonts w:hint="eastAsia" w:ascii="宋体" w:hAnsi="宋体" w:eastAsia="宋体" w:cs="宋体"/>
          <w:sz w:val="24"/>
        </w:rPr>
      </w:pPr>
      <w:r>
        <w:rPr>
          <w:rFonts w:hint="eastAsia" w:ascii="宋体" w:hAnsi="宋体" w:eastAsia="宋体" w:cs="宋体"/>
          <w:sz w:val="24"/>
        </w:rPr>
        <w:t>表面涂装施工时和施工后，应对涂装过的工件进行保护，防止飞扬尘土和其它杂物。涂装后的处理检查，应该是涂层颜色一致，色泽鲜明光亮，不起皱皮，不起疙瘩。每道工序完成后必须通过验收合格后，方可进行下道工序施工。</w:t>
      </w:r>
    </w:p>
    <w:p w14:paraId="6132E959">
      <w:pPr>
        <w:tabs>
          <w:tab w:val="left" w:pos="3465"/>
        </w:tabs>
        <w:spacing w:line="360" w:lineRule="auto"/>
        <w:ind w:firstLine="480" w:firstLineChars="200"/>
        <w:rPr>
          <w:rFonts w:hint="eastAsia" w:ascii="宋体" w:hAnsi="宋体" w:eastAsia="宋体" w:cs="宋体"/>
          <w:sz w:val="24"/>
        </w:rPr>
      </w:pPr>
      <w:r>
        <w:rPr>
          <w:rFonts w:hint="eastAsia" w:ascii="宋体" w:hAnsi="宋体" w:eastAsia="宋体" w:cs="宋体"/>
          <w:sz w:val="24"/>
          <w:lang w:val="en-US" w:eastAsia="zh-CN"/>
        </w:rPr>
        <w:t>8.2</w:t>
      </w:r>
      <w:r>
        <w:rPr>
          <w:rFonts w:hint="eastAsia" w:ascii="宋体" w:hAnsi="宋体" w:eastAsia="宋体" w:cs="宋体"/>
          <w:sz w:val="24"/>
        </w:rPr>
        <w:t>外观质量标准</w:t>
      </w:r>
    </w:p>
    <w:p w14:paraId="6E8442F1">
      <w:pPr>
        <w:tabs>
          <w:tab w:val="left" w:pos="3465"/>
        </w:tabs>
        <w:spacing w:line="360" w:lineRule="auto"/>
        <w:ind w:firstLine="480" w:firstLineChars="200"/>
        <w:rPr>
          <w:rFonts w:hint="eastAsia" w:ascii="宋体" w:hAnsi="宋体" w:eastAsia="宋体" w:cs="宋体"/>
          <w:sz w:val="24"/>
        </w:rPr>
      </w:pPr>
      <w:r>
        <w:rPr>
          <w:rFonts w:hint="eastAsia" w:ascii="宋体" w:hAnsi="宋体" w:eastAsia="宋体" w:cs="宋体"/>
          <w:sz w:val="24"/>
        </w:rPr>
        <w:t>优良：涂刷应均匀，色泽一致，无皱皮、流坠和气泡，附着良好，分色线清楚、整齐。</w:t>
      </w:r>
    </w:p>
    <w:p w14:paraId="47D0056E">
      <w:pPr>
        <w:tabs>
          <w:tab w:val="left" w:pos="3465"/>
        </w:tabs>
        <w:spacing w:line="360" w:lineRule="auto"/>
        <w:ind w:firstLine="480" w:firstLineChars="200"/>
        <w:rPr>
          <w:rFonts w:hint="eastAsia" w:ascii="宋体" w:hAnsi="宋体" w:eastAsia="宋体" w:cs="宋体"/>
          <w:sz w:val="24"/>
        </w:rPr>
      </w:pPr>
      <w:r>
        <w:rPr>
          <w:rFonts w:hint="eastAsia" w:ascii="宋体" w:hAnsi="宋体" w:eastAsia="宋体" w:cs="宋体"/>
          <w:sz w:val="24"/>
        </w:rPr>
        <w:t>涂层结束后，应观察涂层是否均匀、不流挂、无裂纹、无剥落、无漏涂、无气泡、颜色一致。</w:t>
      </w:r>
    </w:p>
    <w:p w14:paraId="38860E3B">
      <w:pPr>
        <w:spacing w:line="360" w:lineRule="auto"/>
        <w:ind w:firstLine="482" w:firstLineChars="200"/>
        <w:outlineLvl w:val="0"/>
        <w:rPr>
          <w:rFonts w:ascii="宋体" w:hAnsi="宋体" w:eastAsia="宋体" w:cs="宋体"/>
          <w:b/>
          <w:bCs/>
          <w:sz w:val="24"/>
        </w:rPr>
      </w:pPr>
      <w:r>
        <w:rPr>
          <w:rFonts w:hint="eastAsia" w:ascii="宋体" w:hAnsi="宋体" w:eastAsia="宋体" w:cs="宋体"/>
          <w:b/>
          <w:bCs/>
          <w:sz w:val="24"/>
          <w:lang w:val="en-US" w:eastAsia="zh-CN"/>
        </w:rPr>
        <w:t>九、</w:t>
      </w:r>
      <w:r>
        <w:rPr>
          <w:rFonts w:hint="eastAsia" w:ascii="宋体" w:hAnsi="宋体" w:eastAsia="宋体" w:cs="宋体"/>
          <w:b/>
          <w:bCs/>
          <w:sz w:val="24"/>
        </w:rPr>
        <w:t xml:space="preserve">健康、安全和环境 </w:t>
      </w:r>
    </w:p>
    <w:p w14:paraId="03D7842E">
      <w:pPr>
        <w:spacing w:line="360" w:lineRule="auto"/>
        <w:ind w:firstLine="480" w:firstLineChars="200"/>
        <w:rPr>
          <w:rFonts w:ascii="宋体" w:hAnsi="宋体" w:eastAsia="宋体" w:cs="宋体"/>
          <w:sz w:val="24"/>
        </w:rPr>
      </w:pPr>
      <w:r>
        <w:rPr>
          <w:rFonts w:hint="eastAsia" w:ascii="宋体" w:hAnsi="宋体" w:eastAsia="宋体" w:cs="宋体"/>
          <w:sz w:val="24"/>
        </w:rPr>
        <w:t>涂装作业施工队伍对所有施工人员要进行健康、安全和环境的培训，并对其负全部职责。 通过一整套的安全程序，涂装施工队伍需要被认证并且其操作人员应被认可以确保他们熟悉安全和操作程序并且训练有素的应对整个应急程序。</w:t>
      </w:r>
    </w:p>
    <w:p w14:paraId="4D5600F2">
      <w:pPr>
        <w:spacing w:line="360" w:lineRule="auto"/>
        <w:ind w:firstLine="480" w:firstLineChars="200"/>
        <w:rPr>
          <w:rFonts w:ascii="宋体" w:hAnsi="宋体" w:eastAsia="宋体" w:cs="宋体"/>
          <w:sz w:val="24"/>
        </w:rPr>
      </w:pPr>
      <w:r>
        <w:rPr>
          <w:rFonts w:hint="eastAsia" w:ascii="宋体" w:hAnsi="宋体" w:eastAsia="宋体" w:cs="宋体"/>
          <w:sz w:val="24"/>
        </w:rPr>
        <w:t xml:space="preserve">安全事项应当作为一项议题包括在准备会议中。所有的安全要求和规则应当被各方同意并是可操作的。 </w:t>
      </w:r>
    </w:p>
    <w:p w14:paraId="0E5DF596">
      <w:pPr>
        <w:spacing w:line="360" w:lineRule="auto"/>
        <w:ind w:firstLine="480" w:firstLineChars="200"/>
        <w:rPr>
          <w:rFonts w:ascii="宋体" w:hAnsi="宋体" w:eastAsia="宋体" w:cs="宋体"/>
          <w:sz w:val="24"/>
        </w:rPr>
      </w:pPr>
      <w:r>
        <w:rPr>
          <w:rFonts w:hint="eastAsia" w:ascii="宋体" w:hAnsi="宋体" w:eastAsia="宋体" w:cs="宋体"/>
          <w:sz w:val="24"/>
        </w:rPr>
        <w:t xml:space="preserve">在涂装工作开始前，无论承包商和/或业主代表中的任何一方，皆可会同涂装承包商确认整个程序不会产生危及邻近区域工作的其他人员的安全。 </w:t>
      </w:r>
    </w:p>
    <w:p w14:paraId="312CF68E">
      <w:pPr>
        <w:spacing w:line="360" w:lineRule="auto"/>
        <w:ind w:firstLine="480" w:firstLineChars="200"/>
        <w:rPr>
          <w:rFonts w:ascii="宋体" w:hAnsi="宋体" w:eastAsia="宋体" w:cs="宋体"/>
          <w:sz w:val="24"/>
        </w:rPr>
      </w:pPr>
      <w:r>
        <w:rPr>
          <w:rFonts w:hint="eastAsia" w:ascii="宋体" w:hAnsi="宋体" w:eastAsia="宋体" w:cs="宋体"/>
          <w:sz w:val="24"/>
        </w:rPr>
        <w:t>正进行工作的区域必须明确划分和标示出。在涂装操作中危险警告应包括“易爆”和“禁止吸烟”并被安放在易于看见的部位，同时，在未确定可燃性蒸汽不会引发火警时不允许移除。 所有使用的设备必须正确接地。这包括，但不仅限于空压机，喷砂和喷涂设备。 佐敦油漆的技术服务工程师有权获得整个相关工作的安全规范，他将不出席任何违反安全规范的质量检查，并对该种情况下的涂装工作不作任何确认。</w:t>
      </w:r>
    </w:p>
    <w:p w14:paraId="1E1C2DD8">
      <w:pPr>
        <w:rPr>
          <w:rFonts w:ascii="宋体" w:hAnsi="宋体" w:eastAsia="宋体" w:cs="宋体"/>
          <w:sz w:val="24"/>
        </w:rPr>
      </w:pPr>
      <w:r>
        <w:rPr>
          <w:rFonts w:hint="eastAsia" w:ascii="宋体" w:hAnsi="宋体" w:eastAsia="宋体" w:cs="宋体"/>
          <w:sz w:val="24"/>
        </w:rPr>
        <w:br w:type="page"/>
      </w:r>
    </w:p>
    <w:p w14:paraId="0C4D9560">
      <w:pPr>
        <w:spacing w:line="360" w:lineRule="auto"/>
        <w:ind w:firstLine="482" w:firstLineChars="200"/>
        <w:outlineLvl w:val="0"/>
        <w:rPr>
          <w:rFonts w:ascii="宋体" w:hAnsi="宋体" w:eastAsia="宋体" w:cs="宋体"/>
          <w:b/>
          <w:bCs/>
          <w:sz w:val="24"/>
        </w:rPr>
      </w:pPr>
      <w:r>
        <w:rPr>
          <w:rFonts w:hint="eastAsia" w:ascii="宋体" w:hAnsi="宋体" w:eastAsia="宋体" w:cs="宋体"/>
          <w:b/>
          <w:bCs/>
          <w:sz w:val="24"/>
          <w:lang w:val="en-US" w:eastAsia="zh-CN"/>
        </w:rPr>
        <w:t>十</w:t>
      </w:r>
      <w:r>
        <w:rPr>
          <w:rFonts w:hint="eastAsia" w:ascii="宋体" w:hAnsi="宋体" w:eastAsia="宋体" w:cs="宋体"/>
          <w:b/>
          <w:bCs/>
          <w:sz w:val="24"/>
        </w:rPr>
        <w:t>、施工工序图片介绍</w:t>
      </w:r>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8"/>
        <w:gridCol w:w="4254"/>
      </w:tblGrid>
      <w:tr w14:paraId="74DE16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center"/>
          </w:tcPr>
          <w:p w14:paraId="74568D8E">
            <w:pPr>
              <w:jc w:val="center"/>
              <w:rPr>
                <w:rFonts w:hint="eastAsia"/>
                <w:sz w:val="24"/>
                <w:vertAlign w:val="baseline"/>
              </w:rPr>
            </w:pPr>
            <w:r>
              <w:rPr>
                <w:rFonts w:hint="eastAsia"/>
                <w:sz w:val="24"/>
              </w:rPr>
              <w:t>基层打磨</w:t>
            </w:r>
          </w:p>
        </w:tc>
        <w:tc>
          <w:tcPr>
            <w:tcW w:w="4261" w:type="dxa"/>
            <w:vAlign w:val="center"/>
          </w:tcPr>
          <w:p w14:paraId="7D1129E8">
            <w:pPr>
              <w:jc w:val="center"/>
              <w:rPr>
                <w:rFonts w:hint="eastAsia"/>
                <w:sz w:val="24"/>
                <w:vertAlign w:val="baseline"/>
              </w:rPr>
            </w:pPr>
            <w:r>
              <w:rPr>
                <w:rFonts w:hint="eastAsia"/>
                <w:sz w:val="24"/>
              </w:rPr>
              <w:t>底漆涂装</w:t>
            </w:r>
          </w:p>
        </w:tc>
      </w:tr>
      <w:tr w14:paraId="38A36E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center"/>
          </w:tcPr>
          <w:p w14:paraId="763D4DC6">
            <w:pPr>
              <w:jc w:val="center"/>
              <w:rPr>
                <w:rFonts w:hint="eastAsia"/>
                <w:sz w:val="24"/>
                <w:vertAlign w:val="baseline"/>
              </w:rPr>
            </w:pPr>
            <w:r>
              <w:rPr>
                <w:rFonts w:hint="eastAsia" w:ascii="宋体" w:hAnsi="宋体" w:eastAsia="宋体" w:cs="宋体"/>
                <w:b/>
                <w:bCs/>
                <w:sz w:val="24"/>
              </w:rPr>
              <w:drawing>
                <wp:inline distT="0" distB="0" distL="114300" distR="114300">
                  <wp:extent cx="2663825" cy="3640455"/>
                  <wp:effectExtent l="0" t="0" r="3175" b="7620"/>
                  <wp:docPr id="19" name="图片 19" descr="2fad5c44fad72d30a50735a7010cf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fad5c44fad72d30a50735a7010cf97"/>
                          <pic:cNvPicPr>
                            <a:picLocks noChangeAspect="1"/>
                          </pic:cNvPicPr>
                        </pic:nvPicPr>
                        <pic:blipFill>
                          <a:blip r:embed="rId13"/>
                          <a:srcRect l="17085" t="8446" r="18278" b="25319"/>
                          <a:stretch>
                            <a:fillRect/>
                          </a:stretch>
                        </pic:blipFill>
                        <pic:spPr>
                          <a:xfrm>
                            <a:off x="0" y="0"/>
                            <a:ext cx="2663825" cy="3640455"/>
                          </a:xfrm>
                          <a:prstGeom prst="rect">
                            <a:avLst/>
                          </a:prstGeom>
                        </pic:spPr>
                      </pic:pic>
                    </a:graphicData>
                  </a:graphic>
                </wp:inline>
              </w:drawing>
            </w:r>
          </w:p>
        </w:tc>
        <w:tc>
          <w:tcPr>
            <w:tcW w:w="4261" w:type="dxa"/>
            <w:vAlign w:val="center"/>
          </w:tcPr>
          <w:p w14:paraId="75F00D5D">
            <w:pPr>
              <w:jc w:val="center"/>
              <w:rPr>
                <w:rFonts w:hint="eastAsia"/>
                <w:sz w:val="24"/>
                <w:vertAlign w:val="baseline"/>
              </w:rPr>
            </w:pPr>
            <w:r>
              <w:rPr>
                <w:rFonts w:hint="eastAsia" w:ascii="宋体" w:hAnsi="宋体" w:eastAsia="宋体" w:cs="宋体"/>
                <w:b/>
                <w:bCs/>
                <w:sz w:val="24"/>
              </w:rPr>
              <w:drawing>
                <wp:inline distT="0" distB="0" distL="114300" distR="114300">
                  <wp:extent cx="2724785" cy="3638550"/>
                  <wp:effectExtent l="0" t="0" r="8890" b="0"/>
                  <wp:docPr id="20" name="图片 20" descr="3010b07e73e88bdf432650368e67e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3010b07e73e88bdf432650368e67e72"/>
                          <pic:cNvPicPr>
                            <a:picLocks noChangeAspect="1"/>
                          </pic:cNvPicPr>
                        </pic:nvPicPr>
                        <pic:blipFill>
                          <a:blip r:embed="rId14"/>
                          <a:srcRect l="9845" r="10845" b="20640"/>
                          <a:stretch>
                            <a:fillRect/>
                          </a:stretch>
                        </pic:blipFill>
                        <pic:spPr>
                          <a:xfrm>
                            <a:off x="0" y="0"/>
                            <a:ext cx="2724785" cy="3638550"/>
                          </a:xfrm>
                          <a:prstGeom prst="rect">
                            <a:avLst/>
                          </a:prstGeom>
                        </pic:spPr>
                      </pic:pic>
                    </a:graphicData>
                  </a:graphic>
                </wp:inline>
              </w:drawing>
            </w:r>
          </w:p>
        </w:tc>
      </w:tr>
      <w:tr w14:paraId="454945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center"/>
          </w:tcPr>
          <w:p w14:paraId="3512FA88">
            <w:pPr>
              <w:jc w:val="center"/>
              <w:rPr>
                <w:rFonts w:hint="eastAsia"/>
                <w:sz w:val="24"/>
                <w:vertAlign w:val="baseline"/>
              </w:rPr>
            </w:pPr>
            <w:r>
              <w:rPr>
                <w:rFonts w:hint="eastAsia"/>
                <w:sz w:val="24"/>
              </w:rPr>
              <w:t>面漆涂装（初步绘图）</w:t>
            </w:r>
          </w:p>
        </w:tc>
        <w:tc>
          <w:tcPr>
            <w:tcW w:w="4261" w:type="dxa"/>
            <w:vAlign w:val="center"/>
          </w:tcPr>
          <w:p w14:paraId="44B33903">
            <w:pPr>
              <w:jc w:val="center"/>
              <w:rPr>
                <w:rFonts w:hint="eastAsia"/>
                <w:sz w:val="24"/>
                <w:vertAlign w:val="baseline"/>
              </w:rPr>
            </w:pPr>
            <w:r>
              <w:rPr>
                <w:rFonts w:hint="eastAsia"/>
                <w:sz w:val="24"/>
              </w:rPr>
              <w:t>绘画绘制</w:t>
            </w:r>
          </w:p>
        </w:tc>
      </w:tr>
      <w:tr w14:paraId="29DEAC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center"/>
          </w:tcPr>
          <w:p w14:paraId="690EFE61">
            <w:pPr>
              <w:jc w:val="center"/>
              <w:rPr>
                <w:rFonts w:hint="eastAsia"/>
                <w:sz w:val="24"/>
                <w:vertAlign w:val="baseline"/>
              </w:rPr>
            </w:pPr>
            <w:r>
              <w:rPr>
                <w:rFonts w:hint="eastAsia"/>
                <w:sz w:val="24"/>
              </w:rPr>
              <w:drawing>
                <wp:inline distT="0" distB="0" distL="114300" distR="114300">
                  <wp:extent cx="2849245" cy="3799840"/>
                  <wp:effectExtent l="0" t="0" r="8255" b="635"/>
                  <wp:docPr id="21" name="图片 21" descr="6d5aa8d3c3972b415dbff32d490ce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6d5aa8d3c3972b415dbff32d490cea6"/>
                          <pic:cNvPicPr>
                            <a:picLocks noChangeAspect="1"/>
                          </pic:cNvPicPr>
                        </pic:nvPicPr>
                        <pic:blipFill>
                          <a:blip r:embed="rId15"/>
                          <a:stretch>
                            <a:fillRect/>
                          </a:stretch>
                        </pic:blipFill>
                        <pic:spPr>
                          <a:xfrm>
                            <a:off x="0" y="0"/>
                            <a:ext cx="2849245" cy="3799840"/>
                          </a:xfrm>
                          <a:prstGeom prst="rect">
                            <a:avLst/>
                          </a:prstGeom>
                        </pic:spPr>
                      </pic:pic>
                    </a:graphicData>
                  </a:graphic>
                </wp:inline>
              </w:drawing>
            </w:r>
          </w:p>
        </w:tc>
        <w:tc>
          <w:tcPr>
            <w:tcW w:w="4261" w:type="dxa"/>
            <w:vAlign w:val="center"/>
          </w:tcPr>
          <w:p w14:paraId="5D67E611">
            <w:pPr>
              <w:jc w:val="center"/>
              <w:rPr>
                <w:rFonts w:hint="eastAsia"/>
                <w:sz w:val="24"/>
                <w:vertAlign w:val="baseline"/>
              </w:rPr>
            </w:pPr>
            <w:r>
              <w:rPr>
                <w:rFonts w:hint="eastAsia"/>
                <w:sz w:val="24"/>
              </w:rPr>
              <w:drawing>
                <wp:inline distT="0" distB="0" distL="114300" distR="114300">
                  <wp:extent cx="2847340" cy="3799205"/>
                  <wp:effectExtent l="0" t="0" r="635" b="1270"/>
                  <wp:docPr id="22" name="图片 22" descr="574f66a8e98c7f8472f843d9f2ecb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574f66a8e98c7f8472f843d9f2ecbbc"/>
                          <pic:cNvPicPr>
                            <a:picLocks noChangeAspect="1"/>
                          </pic:cNvPicPr>
                        </pic:nvPicPr>
                        <pic:blipFill>
                          <a:blip r:embed="rId16"/>
                          <a:stretch>
                            <a:fillRect/>
                          </a:stretch>
                        </pic:blipFill>
                        <pic:spPr>
                          <a:xfrm>
                            <a:off x="0" y="0"/>
                            <a:ext cx="2847340" cy="3799205"/>
                          </a:xfrm>
                          <a:prstGeom prst="rect">
                            <a:avLst/>
                          </a:prstGeom>
                        </pic:spPr>
                      </pic:pic>
                    </a:graphicData>
                  </a:graphic>
                </wp:inline>
              </w:drawing>
            </w:r>
          </w:p>
        </w:tc>
      </w:tr>
    </w:tbl>
    <w:p w14:paraId="11B1DB60">
      <w:pPr>
        <w:jc w:val="center"/>
        <w:rPr>
          <w:rFonts w:ascii="宋体" w:hAnsi="宋体" w:eastAsia="宋体" w:cs="宋体"/>
          <w:b/>
          <w:bCs/>
          <w:sz w:val="24"/>
        </w:rPr>
      </w:pPr>
      <w:r>
        <w:rPr>
          <w:rFonts w:hint="eastAsia" w:ascii="宋体" w:hAnsi="宋体" w:eastAsia="宋体" w:cs="宋体"/>
          <w:b/>
          <w:bCs/>
          <w:sz w:val="24"/>
        </w:rPr>
        <w:br w:type="page"/>
      </w:r>
    </w:p>
    <w:p w14:paraId="5341947B">
      <w:pPr>
        <w:spacing w:line="360" w:lineRule="auto"/>
        <w:ind w:firstLine="482" w:firstLineChars="200"/>
        <w:outlineLvl w:val="0"/>
        <w:rPr>
          <w:rFonts w:ascii="宋体" w:hAnsi="宋体" w:eastAsia="宋体" w:cs="宋体"/>
          <w:b/>
          <w:bCs/>
          <w:sz w:val="24"/>
        </w:rPr>
      </w:pPr>
      <w:r>
        <w:rPr>
          <w:rFonts w:hint="eastAsia" w:ascii="宋体" w:hAnsi="宋体" w:eastAsia="宋体" w:cs="宋体"/>
          <w:b/>
          <w:bCs/>
          <w:sz w:val="24"/>
        </w:rPr>
        <w:t>十</w:t>
      </w:r>
      <w:r>
        <w:rPr>
          <w:rFonts w:hint="eastAsia" w:ascii="宋体" w:hAnsi="宋体" w:eastAsia="宋体" w:cs="宋体"/>
          <w:b/>
          <w:bCs/>
          <w:sz w:val="24"/>
          <w:lang w:val="en-US" w:eastAsia="zh-CN"/>
        </w:rPr>
        <w:t>一</w:t>
      </w:r>
      <w:r>
        <w:rPr>
          <w:rFonts w:hint="eastAsia" w:ascii="宋体" w:hAnsi="宋体" w:eastAsia="宋体" w:cs="宋体"/>
          <w:b/>
          <w:bCs/>
          <w:sz w:val="24"/>
        </w:rPr>
        <w:t>、配套材料介绍</w:t>
      </w:r>
    </w:p>
    <w:p w14:paraId="663E8D41">
      <w:pPr>
        <w:spacing w:line="360" w:lineRule="auto"/>
        <w:ind w:firstLine="422" w:firstLineChars="200"/>
        <w:rPr>
          <w:rFonts w:hint="eastAsia" w:ascii="宋体" w:hAnsi="宋体" w:eastAsia="宋体" w:cs="宋体"/>
          <w:b/>
          <w:bCs/>
          <w:szCs w:val="21"/>
          <w:lang w:val="en-US" w:eastAsia="zh-CN"/>
        </w:rPr>
      </w:pPr>
      <w:r>
        <w:rPr>
          <w:rFonts w:hint="eastAsia" w:ascii="宋体" w:hAnsi="宋体" w:eastAsia="宋体" w:cs="宋体"/>
          <w:b/>
          <w:bCs/>
          <w:szCs w:val="21"/>
          <w:lang w:val="en-US" w:eastAsia="zh-CN"/>
        </w:rPr>
        <w:t>Penguard Clear Sealer 纯环氧封闭清漆</w:t>
      </w:r>
    </w:p>
    <w:p w14:paraId="333596D6">
      <w:pPr>
        <w:spacing w:line="360" w:lineRule="auto"/>
        <w:rPr>
          <w:rFonts w:ascii="宋体" w:hAnsi="宋体" w:eastAsia="宋体" w:cs="宋体"/>
          <w:szCs w:val="21"/>
        </w:rPr>
      </w:pPr>
      <w:r>
        <w:rPr>
          <w:rFonts w:hint="eastAsia" w:ascii="宋体" w:hAnsi="宋体" w:eastAsia="宋体" w:cs="宋体"/>
          <w:szCs w:val="21"/>
        </w:rPr>
        <w:drawing>
          <wp:inline distT="0" distB="0" distL="114300" distR="114300">
            <wp:extent cx="5266690" cy="7454900"/>
            <wp:effectExtent l="0" t="0" r="10160" b="12700"/>
            <wp:docPr id="9" name="图片 9" descr="TDS_Penguard_Clear_Sealer_Zho_CN（纯环氧封闭清漆）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TDS_Penguard_Clear_Sealer_Zho_CN（纯环氧封闭清漆）_00"/>
                    <pic:cNvPicPr>
                      <a:picLocks noChangeAspect="1"/>
                    </pic:cNvPicPr>
                  </pic:nvPicPr>
                  <pic:blipFill>
                    <a:blip r:embed="rId17"/>
                    <a:stretch>
                      <a:fillRect/>
                    </a:stretch>
                  </pic:blipFill>
                  <pic:spPr>
                    <a:xfrm>
                      <a:off x="0" y="0"/>
                      <a:ext cx="5266690" cy="7454900"/>
                    </a:xfrm>
                    <a:prstGeom prst="rect">
                      <a:avLst/>
                    </a:prstGeom>
                  </pic:spPr>
                </pic:pic>
              </a:graphicData>
            </a:graphic>
          </wp:inline>
        </w:drawing>
      </w:r>
      <w:r>
        <w:rPr>
          <w:rFonts w:hint="eastAsia" w:ascii="宋体" w:hAnsi="宋体" w:eastAsia="宋体" w:cs="宋体"/>
          <w:szCs w:val="21"/>
        </w:rPr>
        <w:drawing>
          <wp:inline distT="0" distB="0" distL="114300" distR="114300">
            <wp:extent cx="5266690" cy="7454900"/>
            <wp:effectExtent l="0" t="0" r="10160" b="12700"/>
            <wp:docPr id="8" name="图片 8" descr="TDS_Penguard_Clear_Sealer_Zho_CN（纯环氧封闭清漆）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TDS_Penguard_Clear_Sealer_Zho_CN（纯环氧封闭清漆）_01"/>
                    <pic:cNvPicPr>
                      <a:picLocks noChangeAspect="1"/>
                    </pic:cNvPicPr>
                  </pic:nvPicPr>
                  <pic:blipFill>
                    <a:blip r:embed="rId18"/>
                    <a:stretch>
                      <a:fillRect/>
                    </a:stretch>
                  </pic:blipFill>
                  <pic:spPr>
                    <a:xfrm>
                      <a:off x="0" y="0"/>
                      <a:ext cx="5266690" cy="7454900"/>
                    </a:xfrm>
                    <a:prstGeom prst="rect">
                      <a:avLst/>
                    </a:prstGeom>
                  </pic:spPr>
                </pic:pic>
              </a:graphicData>
            </a:graphic>
          </wp:inline>
        </w:drawing>
      </w:r>
      <w:r>
        <w:rPr>
          <w:rFonts w:hint="eastAsia" w:ascii="宋体" w:hAnsi="宋体" w:eastAsia="宋体" w:cs="宋体"/>
          <w:szCs w:val="21"/>
        </w:rPr>
        <w:drawing>
          <wp:inline distT="0" distB="0" distL="114300" distR="114300">
            <wp:extent cx="5266690" cy="7454900"/>
            <wp:effectExtent l="0" t="0" r="10160" b="12700"/>
            <wp:docPr id="7" name="图片 7" descr="TDS_Penguard_Clear_Sealer_Zho_CN（纯环氧封闭清漆）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TDS_Penguard_Clear_Sealer_Zho_CN（纯环氧封闭清漆）_02"/>
                    <pic:cNvPicPr>
                      <a:picLocks noChangeAspect="1"/>
                    </pic:cNvPicPr>
                  </pic:nvPicPr>
                  <pic:blipFill>
                    <a:blip r:embed="rId19"/>
                    <a:stretch>
                      <a:fillRect/>
                    </a:stretch>
                  </pic:blipFill>
                  <pic:spPr>
                    <a:xfrm>
                      <a:off x="0" y="0"/>
                      <a:ext cx="5266690" cy="7454900"/>
                    </a:xfrm>
                    <a:prstGeom prst="rect">
                      <a:avLst/>
                    </a:prstGeom>
                  </pic:spPr>
                </pic:pic>
              </a:graphicData>
            </a:graphic>
          </wp:inline>
        </w:drawing>
      </w:r>
      <w:r>
        <w:rPr>
          <w:rFonts w:hint="eastAsia" w:ascii="宋体" w:hAnsi="宋体" w:eastAsia="宋体" w:cs="宋体"/>
          <w:szCs w:val="21"/>
        </w:rPr>
        <w:drawing>
          <wp:inline distT="0" distB="0" distL="114300" distR="114300">
            <wp:extent cx="5266690" cy="7454900"/>
            <wp:effectExtent l="0" t="0" r="10160" b="12700"/>
            <wp:docPr id="6" name="图片 6" descr="TDS_Penguard_Clear_Sealer_Zho_CN（纯环氧封闭清漆）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TDS_Penguard_Clear_Sealer_Zho_CN（纯环氧封闭清漆）_03"/>
                    <pic:cNvPicPr>
                      <a:picLocks noChangeAspect="1"/>
                    </pic:cNvPicPr>
                  </pic:nvPicPr>
                  <pic:blipFill>
                    <a:blip r:embed="rId20"/>
                    <a:stretch>
                      <a:fillRect/>
                    </a:stretch>
                  </pic:blipFill>
                  <pic:spPr>
                    <a:xfrm>
                      <a:off x="0" y="0"/>
                      <a:ext cx="5266690" cy="7454900"/>
                    </a:xfrm>
                    <a:prstGeom prst="rect">
                      <a:avLst/>
                    </a:prstGeom>
                  </pic:spPr>
                </pic:pic>
              </a:graphicData>
            </a:graphic>
          </wp:inline>
        </w:drawing>
      </w:r>
    </w:p>
    <w:p w14:paraId="319C9A7F">
      <w:pPr>
        <w:rPr>
          <w:rFonts w:ascii="宋体" w:hAnsi="宋体" w:eastAsia="宋体" w:cs="宋体"/>
          <w:szCs w:val="21"/>
        </w:rPr>
      </w:pPr>
      <w:r>
        <w:rPr>
          <w:rFonts w:hint="eastAsia" w:ascii="宋体" w:hAnsi="宋体" w:eastAsia="宋体" w:cs="宋体"/>
          <w:szCs w:val="21"/>
        </w:rPr>
        <w:br w:type="page"/>
      </w:r>
    </w:p>
    <w:p w14:paraId="4B6FA925">
      <w:pPr>
        <w:spacing w:line="360" w:lineRule="auto"/>
        <w:ind w:firstLine="422" w:firstLineChars="200"/>
        <w:rPr>
          <w:rFonts w:hint="eastAsia" w:ascii="宋体" w:hAnsi="宋体" w:eastAsia="宋体" w:cs="宋体"/>
          <w:b/>
          <w:bCs/>
          <w:szCs w:val="21"/>
          <w:lang w:val="en-US" w:eastAsia="zh-CN"/>
        </w:rPr>
      </w:pPr>
      <w:r>
        <w:rPr>
          <w:rFonts w:hint="eastAsia" w:ascii="宋体" w:hAnsi="宋体" w:eastAsia="宋体" w:cs="宋体"/>
          <w:b/>
          <w:bCs/>
          <w:szCs w:val="21"/>
          <w:lang w:val="en-US" w:eastAsia="zh-CN"/>
        </w:rPr>
        <w:t>Futura Clssic丙烯酸聚氨酯面漆</w:t>
      </w:r>
    </w:p>
    <w:p w14:paraId="22375DF7">
      <w:pPr>
        <w:spacing w:line="360" w:lineRule="auto"/>
        <w:rPr>
          <w:rFonts w:ascii="宋体" w:hAnsi="宋体" w:eastAsia="宋体" w:cs="宋体"/>
          <w:szCs w:val="21"/>
        </w:rPr>
      </w:pPr>
      <w:r>
        <w:rPr>
          <w:rFonts w:hint="eastAsia" w:ascii="宋体" w:hAnsi="宋体" w:eastAsia="宋体" w:cs="宋体"/>
          <w:szCs w:val="21"/>
        </w:rPr>
        <w:drawing>
          <wp:inline distT="0" distB="0" distL="114300" distR="114300">
            <wp:extent cx="5266690" cy="7454900"/>
            <wp:effectExtent l="0" t="0" r="10160" b="12700"/>
            <wp:docPr id="13" name="图片 13" descr="TDS_Futura_Classic_Zho_CN (丙烯酸聚氨酯面漆)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TDS_Futura_Classic_Zho_CN (丙烯酸聚氨酯面漆)_00"/>
                    <pic:cNvPicPr>
                      <a:picLocks noChangeAspect="1"/>
                    </pic:cNvPicPr>
                  </pic:nvPicPr>
                  <pic:blipFill>
                    <a:blip r:embed="rId21"/>
                    <a:stretch>
                      <a:fillRect/>
                    </a:stretch>
                  </pic:blipFill>
                  <pic:spPr>
                    <a:xfrm>
                      <a:off x="0" y="0"/>
                      <a:ext cx="5266690" cy="7454900"/>
                    </a:xfrm>
                    <a:prstGeom prst="rect">
                      <a:avLst/>
                    </a:prstGeom>
                  </pic:spPr>
                </pic:pic>
              </a:graphicData>
            </a:graphic>
          </wp:inline>
        </w:drawing>
      </w:r>
      <w:r>
        <w:rPr>
          <w:rFonts w:hint="eastAsia" w:ascii="宋体" w:hAnsi="宋体" w:eastAsia="宋体" w:cs="宋体"/>
          <w:szCs w:val="21"/>
        </w:rPr>
        <w:drawing>
          <wp:inline distT="0" distB="0" distL="114300" distR="114300">
            <wp:extent cx="5266690" cy="7454900"/>
            <wp:effectExtent l="0" t="0" r="10160" b="12700"/>
            <wp:docPr id="12" name="图片 12" descr="TDS_Futura_Classic_Zho_CN (丙烯酸聚氨酯面漆)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TDS_Futura_Classic_Zho_CN (丙烯酸聚氨酯面漆)_01"/>
                    <pic:cNvPicPr>
                      <a:picLocks noChangeAspect="1"/>
                    </pic:cNvPicPr>
                  </pic:nvPicPr>
                  <pic:blipFill>
                    <a:blip r:embed="rId22"/>
                    <a:stretch>
                      <a:fillRect/>
                    </a:stretch>
                  </pic:blipFill>
                  <pic:spPr>
                    <a:xfrm>
                      <a:off x="0" y="0"/>
                      <a:ext cx="5266690" cy="7454900"/>
                    </a:xfrm>
                    <a:prstGeom prst="rect">
                      <a:avLst/>
                    </a:prstGeom>
                  </pic:spPr>
                </pic:pic>
              </a:graphicData>
            </a:graphic>
          </wp:inline>
        </w:drawing>
      </w:r>
      <w:r>
        <w:rPr>
          <w:rFonts w:hint="eastAsia" w:ascii="宋体" w:hAnsi="宋体" w:eastAsia="宋体" w:cs="宋体"/>
          <w:szCs w:val="21"/>
        </w:rPr>
        <w:drawing>
          <wp:inline distT="0" distB="0" distL="114300" distR="114300">
            <wp:extent cx="5266690" cy="7454900"/>
            <wp:effectExtent l="0" t="0" r="10160" b="12700"/>
            <wp:docPr id="11" name="图片 11" descr="TDS_Futura_Classic_Zho_CN (丙烯酸聚氨酯面漆)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TDS_Futura_Classic_Zho_CN (丙烯酸聚氨酯面漆)_02"/>
                    <pic:cNvPicPr>
                      <a:picLocks noChangeAspect="1"/>
                    </pic:cNvPicPr>
                  </pic:nvPicPr>
                  <pic:blipFill>
                    <a:blip r:embed="rId23"/>
                    <a:stretch>
                      <a:fillRect/>
                    </a:stretch>
                  </pic:blipFill>
                  <pic:spPr>
                    <a:xfrm>
                      <a:off x="0" y="0"/>
                      <a:ext cx="5266690" cy="7454900"/>
                    </a:xfrm>
                    <a:prstGeom prst="rect">
                      <a:avLst/>
                    </a:prstGeom>
                  </pic:spPr>
                </pic:pic>
              </a:graphicData>
            </a:graphic>
          </wp:inline>
        </w:drawing>
      </w:r>
      <w:r>
        <w:rPr>
          <w:rFonts w:hint="eastAsia" w:ascii="宋体" w:hAnsi="宋体" w:eastAsia="宋体" w:cs="宋体"/>
          <w:szCs w:val="21"/>
        </w:rPr>
        <w:drawing>
          <wp:inline distT="0" distB="0" distL="114300" distR="114300">
            <wp:extent cx="5266690" cy="7454900"/>
            <wp:effectExtent l="0" t="0" r="10160" b="12700"/>
            <wp:docPr id="10" name="图片 10" descr="TDS_Futura_Classic_Zho_CN (丙烯酸聚氨酯面漆)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TDS_Futura_Classic_Zho_CN (丙烯酸聚氨酯面漆)_03"/>
                    <pic:cNvPicPr>
                      <a:picLocks noChangeAspect="1"/>
                    </pic:cNvPicPr>
                  </pic:nvPicPr>
                  <pic:blipFill>
                    <a:blip r:embed="rId24"/>
                    <a:stretch>
                      <a:fillRect/>
                    </a:stretch>
                  </pic:blipFill>
                  <pic:spPr>
                    <a:xfrm>
                      <a:off x="0" y="0"/>
                      <a:ext cx="5266690" cy="7454900"/>
                    </a:xfrm>
                    <a:prstGeom prst="rect">
                      <a:avLst/>
                    </a:prstGeom>
                  </pic:spPr>
                </pic:pic>
              </a:graphicData>
            </a:graphic>
          </wp:inline>
        </w:drawing>
      </w:r>
    </w:p>
    <w:p w14:paraId="69679FBB">
      <w:pPr>
        <w:rPr>
          <w:rFonts w:ascii="宋体" w:hAnsi="宋体" w:eastAsia="宋体" w:cs="宋体"/>
          <w:szCs w:val="21"/>
        </w:rPr>
      </w:pPr>
      <w:r>
        <w:rPr>
          <w:rFonts w:ascii="宋体" w:hAnsi="宋体" w:eastAsia="宋体" w:cs="宋体"/>
          <w:szCs w:val="21"/>
        </w:rPr>
        <w:br w:type="page"/>
      </w:r>
    </w:p>
    <w:p w14:paraId="0D06B455">
      <w:pPr>
        <w:spacing w:line="360" w:lineRule="auto"/>
        <w:ind w:firstLine="422" w:firstLineChars="200"/>
        <w:rPr>
          <w:rFonts w:hint="eastAsia" w:ascii="宋体" w:hAnsi="宋体" w:eastAsia="宋体" w:cs="宋体"/>
          <w:b/>
          <w:bCs/>
          <w:szCs w:val="21"/>
        </w:rPr>
      </w:pPr>
      <w:r>
        <w:rPr>
          <w:rFonts w:hint="eastAsia" w:ascii="宋体" w:hAnsi="宋体" w:eastAsia="宋体" w:cs="宋体"/>
          <w:b/>
          <w:bCs/>
          <w:szCs w:val="21"/>
        </w:rPr>
        <w:t>Jota AY30T</w:t>
      </w:r>
      <w:r>
        <w:rPr>
          <w:rFonts w:hint="eastAsia" w:ascii="宋体" w:hAnsi="宋体" w:eastAsia="宋体" w:cs="宋体"/>
          <w:b/>
          <w:bCs/>
          <w:szCs w:val="21"/>
          <w:lang w:val="en-US" w:eastAsia="zh-CN"/>
        </w:rPr>
        <w:t xml:space="preserve"> </w:t>
      </w:r>
      <w:r>
        <w:rPr>
          <w:rFonts w:hint="eastAsia" w:ascii="宋体" w:hAnsi="宋体" w:eastAsia="宋体" w:cs="宋体"/>
          <w:b/>
          <w:bCs/>
          <w:szCs w:val="21"/>
        </w:rPr>
        <w:t>快干丙烯酸漆30T</w:t>
      </w:r>
    </w:p>
    <w:p w14:paraId="1BF50D1A">
      <w:pPr>
        <w:spacing w:line="360" w:lineRule="auto"/>
        <w:rPr>
          <w:rFonts w:hint="eastAsia" w:ascii="宋体" w:hAnsi="宋体" w:eastAsia="宋体" w:cs="宋体"/>
          <w:szCs w:val="21"/>
          <w:lang w:eastAsia="zh-CN"/>
        </w:rPr>
      </w:pPr>
      <w:r>
        <w:rPr>
          <w:rFonts w:hint="eastAsia" w:ascii="宋体" w:hAnsi="宋体" w:eastAsia="宋体" w:cs="宋体"/>
          <w:szCs w:val="21"/>
          <w:lang w:eastAsia="zh-CN"/>
        </w:rPr>
        <w:drawing>
          <wp:inline distT="0" distB="0" distL="114300" distR="114300">
            <wp:extent cx="5273675" cy="7463790"/>
            <wp:effectExtent l="0" t="0" r="3175" b="3810"/>
            <wp:docPr id="14" name="图片 14" descr="AY30T说明书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AY30T说明书_00"/>
                    <pic:cNvPicPr>
                      <a:picLocks noChangeAspect="1"/>
                    </pic:cNvPicPr>
                  </pic:nvPicPr>
                  <pic:blipFill>
                    <a:blip r:embed="rId25"/>
                    <a:stretch>
                      <a:fillRect/>
                    </a:stretch>
                  </pic:blipFill>
                  <pic:spPr>
                    <a:xfrm>
                      <a:off x="0" y="0"/>
                      <a:ext cx="5273675" cy="7463790"/>
                    </a:xfrm>
                    <a:prstGeom prst="rect">
                      <a:avLst/>
                    </a:prstGeom>
                  </pic:spPr>
                </pic:pic>
              </a:graphicData>
            </a:graphic>
          </wp:inline>
        </w:drawing>
      </w:r>
      <w:r>
        <w:rPr>
          <w:rFonts w:hint="eastAsia" w:ascii="宋体" w:hAnsi="宋体" w:eastAsia="宋体" w:cs="宋体"/>
          <w:szCs w:val="21"/>
          <w:lang w:eastAsia="zh-CN"/>
        </w:rPr>
        <w:drawing>
          <wp:inline distT="0" distB="0" distL="114300" distR="114300">
            <wp:extent cx="5273675" cy="7463790"/>
            <wp:effectExtent l="0" t="0" r="3175" b="3810"/>
            <wp:docPr id="15" name="图片 15" descr="AY30T说明书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AY30T说明书_01"/>
                    <pic:cNvPicPr>
                      <a:picLocks noChangeAspect="1"/>
                    </pic:cNvPicPr>
                  </pic:nvPicPr>
                  <pic:blipFill>
                    <a:blip r:embed="rId26"/>
                    <a:stretch>
                      <a:fillRect/>
                    </a:stretch>
                  </pic:blipFill>
                  <pic:spPr>
                    <a:xfrm>
                      <a:off x="0" y="0"/>
                      <a:ext cx="5273675" cy="7463790"/>
                    </a:xfrm>
                    <a:prstGeom prst="rect">
                      <a:avLst/>
                    </a:prstGeom>
                  </pic:spPr>
                </pic:pic>
              </a:graphicData>
            </a:graphic>
          </wp:inline>
        </w:drawing>
      </w:r>
      <w:r>
        <w:rPr>
          <w:rFonts w:hint="eastAsia" w:ascii="宋体" w:hAnsi="宋体" w:eastAsia="宋体" w:cs="宋体"/>
          <w:szCs w:val="21"/>
          <w:lang w:eastAsia="zh-CN"/>
        </w:rPr>
        <w:drawing>
          <wp:inline distT="0" distB="0" distL="114300" distR="114300">
            <wp:extent cx="5273675" cy="7463790"/>
            <wp:effectExtent l="0" t="0" r="3175" b="3810"/>
            <wp:docPr id="17" name="图片 17" descr="AY30T说明书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AY30T说明书_03"/>
                    <pic:cNvPicPr>
                      <a:picLocks noChangeAspect="1"/>
                    </pic:cNvPicPr>
                  </pic:nvPicPr>
                  <pic:blipFill>
                    <a:blip r:embed="rId27"/>
                    <a:stretch>
                      <a:fillRect/>
                    </a:stretch>
                  </pic:blipFill>
                  <pic:spPr>
                    <a:xfrm>
                      <a:off x="0" y="0"/>
                      <a:ext cx="5273675" cy="7463790"/>
                    </a:xfrm>
                    <a:prstGeom prst="rect">
                      <a:avLst/>
                    </a:prstGeom>
                  </pic:spPr>
                </pic:pic>
              </a:graphicData>
            </a:graphic>
          </wp:inline>
        </w:drawing>
      </w:r>
    </w:p>
    <w:p w14:paraId="0DD99CEF">
      <w:pPr>
        <w:bidi w:val="0"/>
        <w:rPr>
          <w:rFonts w:hint="eastAsia" w:ascii="宋体" w:hAnsi="宋体" w:eastAsia="宋体" w:cs="宋体"/>
          <w:lang w:eastAsia="zh-CN"/>
        </w:rPr>
      </w:pPr>
    </w:p>
    <w:p w14:paraId="5E174410">
      <w:pPr>
        <w:bidi w:val="0"/>
        <w:rPr>
          <w:rFonts w:hint="eastAsia" w:ascii="宋体" w:hAnsi="宋体" w:eastAsia="宋体" w:cs="宋体"/>
          <w:lang w:eastAsia="zh-CN"/>
        </w:rPr>
      </w:pPr>
    </w:p>
    <w:p w14:paraId="5A09ABDE">
      <w:pPr>
        <w:bidi w:val="0"/>
        <w:rPr>
          <w:rFonts w:hint="eastAsia" w:ascii="宋体" w:hAnsi="宋体" w:eastAsia="宋体" w:cs="宋体"/>
          <w:lang w:eastAsia="zh-CN"/>
        </w:rPr>
      </w:pPr>
    </w:p>
    <w:p w14:paraId="46589BC8">
      <w:pPr>
        <w:bidi w:val="0"/>
        <w:rPr>
          <w:rFonts w:hint="eastAsia" w:ascii="宋体" w:hAnsi="宋体" w:eastAsia="宋体" w:cs="宋体"/>
          <w:lang w:eastAsia="zh-CN"/>
        </w:rPr>
      </w:pPr>
    </w:p>
    <w:p w14:paraId="213B4048">
      <w:pPr>
        <w:bidi w:val="0"/>
        <w:rPr>
          <w:rFonts w:hint="eastAsia" w:ascii="宋体" w:hAnsi="宋体" w:eastAsia="宋体" w:cs="宋体"/>
          <w:lang w:eastAsia="zh-CN"/>
        </w:rPr>
      </w:pPr>
    </w:p>
    <w:p w14:paraId="788E0DC4">
      <w:pPr>
        <w:bidi w:val="0"/>
        <w:rPr>
          <w:rFonts w:hint="eastAsia" w:ascii="宋体" w:hAnsi="宋体" w:eastAsia="宋体" w:cs="宋体"/>
          <w:lang w:eastAsia="zh-CN"/>
        </w:rPr>
      </w:pPr>
    </w:p>
    <w:p w14:paraId="513A9C05">
      <w:pPr>
        <w:bidi w:val="0"/>
        <w:spacing w:line="360" w:lineRule="auto"/>
        <w:ind w:firstLine="422" w:firstLineChars="200"/>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Hardtop One湿固化丙烯酸聚硅氧烷面漆</w:t>
      </w:r>
    </w:p>
    <w:p w14:paraId="7EF85004">
      <w:pPr>
        <w:bidi w:val="0"/>
        <w:spacing w:line="360" w:lineRule="auto"/>
        <w:ind w:firstLine="422" w:firstLineChars="200"/>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drawing>
          <wp:inline distT="0" distB="0" distL="114300" distR="114300">
            <wp:extent cx="5267960" cy="7452360"/>
            <wp:effectExtent l="0" t="0" r="8890" b="5715"/>
            <wp:docPr id="25" name="图片 25" descr="Hardtop One湿固化丙烯酸聚硅氧烷面漆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Hardtop One湿固化丙烯酸聚硅氧烷面漆_00"/>
                    <pic:cNvPicPr>
                      <a:picLocks noChangeAspect="1"/>
                    </pic:cNvPicPr>
                  </pic:nvPicPr>
                  <pic:blipFill>
                    <a:blip r:embed="rId28"/>
                    <a:stretch>
                      <a:fillRect/>
                    </a:stretch>
                  </pic:blipFill>
                  <pic:spPr>
                    <a:xfrm>
                      <a:off x="0" y="0"/>
                      <a:ext cx="5267960" cy="7452360"/>
                    </a:xfrm>
                    <a:prstGeom prst="rect">
                      <a:avLst/>
                    </a:prstGeom>
                  </pic:spPr>
                </pic:pic>
              </a:graphicData>
            </a:graphic>
          </wp:inline>
        </w:drawing>
      </w:r>
      <w:r>
        <w:rPr>
          <w:rFonts w:hint="eastAsia" w:ascii="宋体" w:hAnsi="宋体" w:eastAsia="宋体" w:cs="宋体"/>
          <w:b/>
          <w:bCs/>
          <w:sz w:val="21"/>
          <w:szCs w:val="21"/>
          <w:lang w:val="en-US" w:eastAsia="zh-CN"/>
        </w:rPr>
        <w:drawing>
          <wp:inline distT="0" distB="0" distL="114300" distR="114300">
            <wp:extent cx="5267960" cy="7452360"/>
            <wp:effectExtent l="0" t="0" r="8890" b="5715"/>
            <wp:docPr id="24" name="图片 24" descr="Hardtop One湿固化丙烯酸聚硅氧烷面漆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Hardtop One湿固化丙烯酸聚硅氧烷面漆_01"/>
                    <pic:cNvPicPr>
                      <a:picLocks noChangeAspect="1"/>
                    </pic:cNvPicPr>
                  </pic:nvPicPr>
                  <pic:blipFill>
                    <a:blip r:embed="rId29"/>
                    <a:stretch>
                      <a:fillRect/>
                    </a:stretch>
                  </pic:blipFill>
                  <pic:spPr>
                    <a:xfrm>
                      <a:off x="0" y="0"/>
                      <a:ext cx="5267960" cy="7452360"/>
                    </a:xfrm>
                    <a:prstGeom prst="rect">
                      <a:avLst/>
                    </a:prstGeom>
                  </pic:spPr>
                </pic:pic>
              </a:graphicData>
            </a:graphic>
          </wp:inline>
        </w:drawing>
      </w:r>
      <w:r>
        <w:rPr>
          <w:rFonts w:hint="eastAsia" w:ascii="宋体" w:hAnsi="宋体" w:eastAsia="宋体" w:cs="宋体"/>
          <w:b/>
          <w:bCs/>
          <w:sz w:val="21"/>
          <w:szCs w:val="21"/>
          <w:lang w:val="en-US" w:eastAsia="zh-CN"/>
        </w:rPr>
        <w:drawing>
          <wp:inline distT="0" distB="0" distL="114300" distR="114300">
            <wp:extent cx="5267960" cy="7452360"/>
            <wp:effectExtent l="0" t="0" r="8890" b="5715"/>
            <wp:docPr id="23" name="图片 23" descr="Hardtop One湿固化丙烯酸聚硅氧烷面漆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Hardtop One湿固化丙烯酸聚硅氧烷面漆_02"/>
                    <pic:cNvPicPr>
                      <a:picLocks noChangeAspect="1"/>
                    </pic:cNvPicPr>
                  </pic:nvPicPr>
                  <pic:blipFill>
                    <a:blip r:embed="rId30"/>
                    <a:stretch>
                      <a:fillRect/>
                    </a:stretch>
                  </pic:blipFill>
                  <pic:spPr>
                    <a:xfrm>
                      <a:off x="0" y="0"/>
                      <a:ext cx="5267960" cy="7452360"/>
                    </a:xfrm>
                    <a:prstGeom prst="rect">
                      <a:avLst/>
                    </a:prstGeom>
                  </pic:spPr>
                </pic:pic>
              </a:graphicData>
            </a:graphic>
          </wp:inline>
        </w:drawing>
      </w:r>
      <w:r>
        <w:rPr>
          <w:rFonts w:hint="eastAsia" w:ascii="宋体" w:hAnsi="宋体" w:eastAsia="宋体" w:cs="宋体"/>
          <w:b/>
          <w:bCs/>
          <w:sz w:val="21"/>
          <w:szCs w:val="21"/>
          <w:lang w:val="en-US" w:eastAsia="zh-CN"/>
        </w:rPr>
        <w:drawing>
          <wp:inline distT="0" distB="0" distL="114300" distR="114300">
            <wp:extent cx="5267960" cy="7452360"/>
            <wp:effectExtent l="0" t="0" r="8890" b="5715"/>
            <wp:docPr id="18" name="图片 18" descr="Hardtop One湿固化丙烯酸聚硅氧烷面漆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Hardtop One湿固化丙烯酸聚硅氧烷面漆_03"/>
                    <pic:cNvPicPr>
                      <a:picLocks noChangeAspect="1"/>
                    </pic:cNvPicPr>
                  </pic:nvPicPr>
                  <pic:blipFill>
                    <a:blip r:embed="rId31"/>
                    <a:stretch>
                      <a:fillRect/>
                    </a:stretch>
                  </pic:blipFill>
                  <pic:spPr>
                    <a:xfrm>
                      <a:off x="0" y="0"/>
                      <a:ext cx="5267960" cy="7452360"/>
                    </a:xfrm>
                    <a:prstGeom prst="rect">
                      <a:avLst/>
                    </a:prstGeom>
                  </pic:spPr>
                </pic:pic>
              </a:graphicData>
            </a:graphic>
          </wp:inline>
        </w:drawing>
      </w:r>
      <w:r>
        <w:rPr>
          <w:rFonts w:hint="eastAsia" w:ascii="宋体" w:hAnsi="宋体" w:eastAsia="宋体" w:cs="宋体"/>
          <w:b/>
          <w:bCs/>
          <w:sz w:val="21"/>
          <w:szCs w:val="21"/>
          <w:lang w:val="en-US" w:eastAsia="zh-CN"/>
        </w:rPr>
        <w:drawing>
          <wp:inline distT="0" distB="0" distL="114300" distR="114300">
            <wp:extent cx="5267960" cy="7452360"/>
            <wp:effectExtent l="0" t="0" r="8890" b="5715"/>
            <wp:docPr id="1" name="图片 1" descr="Hardtop One湿固化丙烯酸聚硅氧烷面漆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ardtop One湿固化丙烯酸聚硅氧烷面漆_04"/>
                    <pic:cNvPicPr>
                      <a:picLocks noChangeAspect="1"/>
                    </pic:cNvPicPr>
                  </pic:nvPicPr>
                  <pic:blipFill>
                    <a:blip r:embed="rId32"/>
                    <a:stretch>
                      <a:fillRect/>
                    </a:stretch>
                  </pic:blipFill>
                  <pic:spPr>
                    <a:xfrm>
                      <a:off x="0" y="0"/>
                      <a:ext cx="5267960" cy="7452360"/>
                    </a:xfrm>
                    <a:prstGeom prst="rect">
                      <a:avLst/>
                    </a:prstGeom>
                  </pic:spPr>
                </pic:pic>
              </a:graphicData>
            </a:graphic>
          </wp:inline>
        </w:drawing>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幼圆">
    <w:panose1 w:val="0201050906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6"/>
      <w:tblpPr w:leftFromText="180" w:rightFromText="180" w:vertAnchor="text" w:horzAnchor="page" w:tblpX="1793" w:tblpY="34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6E917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29CF012E">
          <w:pPr>
            <w:pStyle w:val="11"/>
            <w:jc w:val="center"/>
          </w:pPr>
          <w:r>
            <w:rPr>
              <w:rFonts w:hint="eastAsia"/>
              <w:sz w:val="21"/>
              <w:szCs w:val="21"/>
            </w:rPr>
            <w:t>编制单位：江苏宏亚高空工程有限公司    编制人：沈大亚    联系方式：</w:t>
          </w:r>
          <w:r>
            <w:rPr>
              <w:rFonts w:hint="eastAsia" w:ascii="宋体" w:hAnsi="宋体" w:eastAsia="宋体" w:cs="宋体"/>
              <w:sz w:val="24"/>
              <w:szCs w:val="24"/>
            </w:rPr>
            <w:t>199 0515 5555</w:t>
          </w:r>
        </w:p>
      </w:tc>
    </w:tr>
  </w:tbl>
  <w:p w14:paraId="4BC2BD94">
    <w:pPr>
      <w:pStyle w:val="11"/>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YxODIwNmZiMmUxYTUyYjU2MjlhMDk4NjVhMzg3OGYifQ=="/>
  </w:docVars>
  <w:rsids>
    <w:rsidRoot w:val="291B4B14"/>
    <w:rsid w:val="000F6BC7"/>
    <w:rsid w:val="001F4C57"/>
    <w:rsid w:val="002A2CA9"/>
    <w:rsid w:val="00336335"/>
    <w:rsid w:val="008F4951"/>
    <w:rsid w:val="009823A7"/>
    <w:rsid w:val="012C4D7C"/>
    <w:rsid w:val="01AF066C"/>
    <w:rsid w:val="051E6CDF"/>
    <w:rsid w:val="07D03FCA"/>
    <w:rsid w:val="0A2D4DAC"/>
    <w:rsid w:val="0CEC4FFD"/>
    <w:rsid w:val="13C864FE"/>
    <w:rsid w:val="13D40CF2"/>
    <w:rsid w:val="20DD111C"/>
    <w:rsid w:val="21ED09E3"/>
    <w:rsid w:val="23972EFB"/>
    <w:rsid w:val="24B83B72"/>
    <w:rsid w:val="2658568B"/>
    <w:rsid w:val="28BF08E5"/>
    <w:rsid w:val="291B4B14"/>
    <w:rsid w:val="2A510208"/>
    <w:rsid w:val="2A780C49"/>
    <w:rsid w:val="2E8A0D3F"/>
    <w:rsid w:val="2FC8665E"/>
    <w:rsid w:val="30070767"/>
    <w:rsid w:val="300C6478"/>
    <w:rsid w:val="32CD78E7"/>
    <w:rsid w:val="360F230E"/>
    <w:rsid w:val="39854B5C"/>
    <w:rsid w:val="3A342C5E"/>
    <w:rsid w:val="493F6FAA"/>
    <w:rsid w:val="4B8B04D9"/>
    <w:rsid w:val="4DB22CAA"/>
    <w:rsid w:val="50A05881"/>
    <w:rsid w:val="5D292121"/>
    <w:rsid w:val="67750646"/>
    <w:rsid w:val="689B7614"/>
    <w:rsid w:val="70A77CC4"/>
    <w:rsid w:val="73C13552"/>
    <w:rsid w:val="75DD59C7"/>
    <w:rsid w:val="77E258A5"/>
    <w:rsid w:val="7D6529E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line="576" w:lineRule="auto"/>
      <w:outlineLvl w:val="0"/>
    </w:pPr>
    <w:rPr>
      <w:b/>
      <w:kern w:val="44"/>
      <w:sz w:val="44"/>
    </w:rPr>
  </w:style>
  <w:style w:type="paragraph" w:styleId="4">
    <w:name w:val="heading 2"/>
    <w:basedOn w:val="1"/>
    <w:next w:val="1"/>
    <w:qFormat/>
    <w:uiPriority w:val="0"/>
    <w:pPr>
      <w:keepNext/>
      <w:keepLines/>
      <w:autoSpaceDE w:val="0"/>
      <w:autoSpaceDN w:val="0"/>
      <w:adjustRightInd w:val="0"/>
      <w:spacing w:before="260" w:after="260" w:line="416" w:lineRule="atLeast"/>
      <w:ind w:left="425" w:hanging="425"/>
      <w:jc w:val="left"/>
      <w:outlineLvl w:val="1"/>
    </w:pPr>
    <w:rPr>
      <w:rFonts w:ascii="Arial" w:hAnsi="Arial" w:eastAsia="黑体"/>
      <w:b/>
      <w:bCs/>
      <w:kern w:val="0"/>
      <w:position w:val="-6"/>
      <w:sz w:val="32"/>
      <w:szCs w:val="32"/>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Body Text Indent 2"/>
    <w:basedOn w:val="1"/>
    <w:qFormat/>
    <w:uiPriority w:val="0"/>
    <w:pPr>
      <w:tabs>
        <w:tab w:val="left" w:pos="630"/>
      </w:tabs>
      <w:spacing w:line="336" w:lineRule="auto"/>
      <w:ind w:left="195" w:leftChars="93" w:firstLine="475" w:firstLineChars="198"/>
    </w:pPr>
    <w:rPr>
      <w:sz w:val="24"/>
    </w:rPr>
  </w:style>
  <w:style w:type="paragraph" w:styleId="5">
    <w:name w:val="Normal Indent"/>
    <w:basedOn w:val="1"/>
    <w:qFormat/>
    <w:uiPriority w:val="0"/>
    <w:pPr>
      <w:adjustRightInd w:val="0"/>
      <w:spacing w:line="500" w:lineRule="exact"/>
      <w:ind w:firstLine="420"/>
      <w:textAlignment w:val="baseline"/>
    </w:pPr>
    <w:rPr>
      <w:rFonts w:ascii="宋体"/>
      <w:kern w:val="0"/>
      <w:sz w:val="28"/>
      <w:szCs w:val="28"/>
    </w:rPr>
  </w:style>
  <w:style w:type="paragraph" w:styleId="6">
    <w:name w:val="Body Text"/>
    <w:basedOn w:val="1"/>
    <w:qFormat/>
    <w:uiPriority w:val="0"/>
    <w:pPr>
      <w:spacing w:line="360" w:lineRule="auto"/>
    </w:pPr>
    <w:rPr>
      <w:sz w:val="24"/>
    </w:rPr>
  </w:style>
  <w:style w:type="paragraph" w:styleId="7">
    <w:name w:val="Body Text Indent"/>
    <w:basedOn w:val="1"/>
    <w:qFormat/>
    <w:uiPriority w:val="0"/>
    <w:pPr>
      <w:spacing w:line="360" w:lineRule="auto"/>
    </w:pPr>
    <w:rPr>
      <w:sz w:val="24"/>
    </w:rPr>
  </w:style>
  <w:style w:type="paragraph" w:styleId="8">
    <w:name w:val="List 2"/>
    <w:basedOn w:val="1"/>
    <w:qFormat/>
    <w:uiPriority w:val="0"/>
    <w:pPr>
      <w:widowControl/>
      <w:ind w:left="100" w:leftChars="200" w:hanging="200" w:hangingChars="200"/>
      <w:jc w:val="left"/>
    </w:pPr>
    <w:rPr>
      <w:kern w:val="0"/>
      <w:sz w:val="20"/>
      <w:szCs w:val="20"/>
      <w:lang w:eastAsia="en-US"/>
    </w:rPr>
  </w:style>
  <w:style w:type="paragraph" w:styleId="9">
    <w:name w:val="List Continue"/>
    <w:basedOn w:val="1"/>
    <w:qFormat/>
    <w:uiPriority w:val="0"/>
    <w:pPr>
      <w:widowControl/>
      <w:spacing w:after="120"/>
      <w:ind w:left="420" w:leftChars="200"/>
      <w:jc w:val="left"/>
    </w:pPr>
    <w:rPr>
      <w:kern w:val="0"/>
      <w:sz w:val="20"/>
      <w:szCs w:val="20"/>
      <w:lang w:eastAsia="en-US"/>
    </w:rPr>
  </w:style>
  <w:style w:type="paragraph" w:styleId="10">
    <w:name w:val="Balloon Text"/>
    <w:basedOn w:val="1"/>
    <w:link w:val="26"/>
    <w:qFormat/>
    <w:uiPriority w:val="0"/>
    <w:rPr>
      <w:sz w:val="18"/>
      <w:szCs w:val="18"/>
    </w:rPr>
  </w:style>
  <w:style w:type="paragraph" w:styleId="11">
    <w:name w:val="footer"/>
    <w:basedOn w:val="1"/>
    <w:qFormat/>
    <w:uiPriority w:val="0"/>
    <w:pPr>
      <w:tabs>
        <w:tab w:val="center" w:pos="4153"/>
        <w:tab w:val="right" w:pos="8306"/>
      </w:tabs>
      <w:snapToGrid w:val="0"/>
      <w:jc w:val="left"/>
    </w:pPr>
    <w:rPr>
      <w:sz w:val="18"/>
      <w:szCs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3">
    <w:name w:val="List"/>
    <w:basedOn w:val="1"/>
    <w:qFormat/>
    <w:uiPriority w:val="0"/>
    <w:pPr>
      <w:ind w:left="420" w:hanging="420"/>
    </w:pPr>
    <w:rPr>
      <w:szCs w:val="20"/>
    </w:rPr>
  </w:style>
  <w:style w:type="paragraph" w:styleId="14">
    <w:name w:val="Body Text 2"/>
    <w:basedOn w:val="1"/>
    <w:qFormat/>
    <w:uiPriority w:val="0"/>
    <w:pPr>
      <w:spacing w:after="120" w:line="480" w:lineRule="auto"/>
    </w:pPr>
    <w:rPr>
      <w:sz w:val="24"/>
      <w:szCs w:val="20"/>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8">
    <w:name w:val="沈大亚一级标题"/>
    <w:basedOn w:val="3"/>
    <w:next w:val="1"/>
    <w:qFormat/>
    <w:uiPriority w:val="0"/>
    <w:pPr>
      <w:jc w:val="center"/>
    </w:pPr>
    <w:rPr>
      <w:rFonts w:ascii="Calibri" w:hAnsi="Calibri" w:eastAsia="宋体" w:cs="Times New Roman"/>
      <w:b w:val="0"/>
      <w:bCs/>
      <w:sz w:val="32"/>
      <w:szCs w:val="44"/>
    </w:rPr>
  </w:style>
  <w:style w:type="paragraph" w:customStyle="1" w:styleId="19">
    <w:name w:val="一级标题"/>
    <w:basedOn w:val="3"/>
    <w:next w:val="1"/>
    <w:link w:val="20"/>
    <w:qFormat/>
    <w:uiPriority w:val="0"/>
    <w:pPr>
      <w:jc w:val="center"/>
    </w:pPr>
    <w:rPr>
      <w:rFonts w:ascii="Calibri" w:hAnsi="Calibri" w:eastAsia="宋体" w:cs="Times New Roman"/>
      <w:bCs/>
      <w:sz w:val="32"/>
      <w:szCs w:val="44"/>
    </w:rPr>
  </w:style>
  <w:style w:type="character" w:customStyle="1" w:styleId="20">
    <w:name w:val="一级标题 Char"/>
    <w:link w:val="19"/>
    <w:qFormat/>
    <w:uiPriority w:val="0"/>
    <w:rPr>
      <w:rFonts w:ascii="Calibri" w:hAnsi="Calibri" w:eastAsia="宋体" w:cs="Times New Roman"/>
      <w:b/>
      <w:bCs/>
      <w:sz w:val="32"/>
      <w:szCs w:val="44"/>
    </w:rPr>
  </w:style>
  <w:style w:type="paragraph" w:customStyle="1" w:styleId="21">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2">
    <w:name w:val="CM19"/>
    <w:basedOn w:val="21"/>
    <w:next w:val="21"/>
    <w:qFormat/>
    <w:uiPriority w:val="0"/>
    <w:pPr>
      <w:spacing w:after="283"/>
    </w:pPr>
    <w:rPr>
      <w:rFonts w:ascii="幼圆" w:eastAsia="幼圆" w:cs="Times New Roman"/>
      <w:color w:val="auto"/>
    </w:rPr>
  </w:style>
  <w:style w:type="paragraph" w:customStyle="1" w:styleId="23">
    <w:name w:val="CM1"/>
    <w:basedOn w:val="21"/>
    <w:next w:val="21"/>
    <w:qFormat/>
    <w:uiPriority w:val="0"/>
    <w:pPr>
      <w:spacing w:line="286" w:lineRule="atLeast"/>
    </w:pPr>
    <w:rPr>
      <w:rFonts w:ascii="幼圆" w:eastAsia="幼圆" w:cs="Times New Roman"/>
      <w:color w:val="auto"/>
    </w:rPr>
  </w:style>
  <w:style w:type="paragraph" w:customStyle="1" w:styleId="24">
    <w:name w:val="CM20"/>
    <w:basedOn w:val="21"/>
    <w:next w:val="21"/>
    <w:qFormat/>
    <w:uiPriority w:val="0"/>
    <w:pPr>
      <w:spacing w:after="143"/>
    </w:pPr>
    <w:rPr>
      <w:rFonts w:ascii="幼圆" w:eastAsia="幼圆" w:cs="Times New Roman"/>
      <w:color w:val="auto"/>
    </w:rPr>
  </w:style>
  <w:style w:type="paragraph" w:customStyle="1" w:styleId="25">
    <w:name w:val=".. 1"/>
    <w:basedOn w:val="21"/>
    <w:next w:val="21"/>
    <w:qFormat/>
    <w:uiPriority w:val="0"/>
    <w:rPr>
      <w:color w:val="auto"/>
    </w:rPr>
  </w:style>
  <w:style w:type="character" w:customStyle="1" w:styleId="26">
    <w:name w:val="批注框文本 Char"/>
    <w:basedOn w:val="17"/>
    <w:link w:val="10"/>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3" Type="http://schemas.openxmlformats.org/officeDocument/2006/relationships/fontTable" Target="fontTable.xml"/><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28</Pages>
  <Words>4778</Words>
  <Characters>5003</Characters>
  <Lines>4</Lines>
  <Paragraphs>9</Paragraphs>
  <TotalTime>71</TotalTime>
  <ScaleCrop>false</ScaleCrop>
  <LinksUpToDate>false</LinksUpToDate>
  <CharactersWithSpaces>5043</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2024-09-09T02:12:49Z</dcterms:created>
  <dc:creator>宏亚高空</dc:creator>
  <cp:lastModifiedBy>宏亚高空</cp:lastModifiedBy>
  <dcterms:modified xsi:type="dcterms:W3CDTF">2025-09-12T00:50:17Z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FA06C45433224CD98BAD69B3F67C6E3B_13</vt:lpwstr>
  </property>
</Properties>
</file>