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089E85">
      <w:pPr>
        <w:bidi w:val="0"/>
        <w:rPr>
          <w:rFonts w:hint="eastAsia" w:ascii="仿宋" w:hAnsi="仿宋" w:eastAsia="仿宋" w:cs="仿宋"/>
        </w:rPr>
      </w:pPr>
    </w:p>
    <w:p w14:paraId="71953EBC">
      <w:pPr>
        <w:bidi w:val="0"/>
        <w:rPr>
          <w:rFonts w:hint="eastAsia" w:ascii="仿宋" w:hAnsi="仿宋" w:eastAsia="仿宋" w:cs="仿宋"/>
        </w:rPr>
      </w:pPr>
    </w:p>
    <w:p w14:paraId="5415091A">
      <w:pPr>
        <w:bidi w:val="0"/>
        <w:rPr>
          <w:rFonts w:hint="eastAsia" w:ascii="仿宋" w:hAnsi="仿宋" w:eastAsia="仿宋" w:cs="仿宋"/>
        </w:rPr>
      </w:pPr>
    </w:p>
    <w:p w14:paraId="43E407EF">
      <w:pPr>
        <w:bidi w:val="0"/>
        <w:rPr>
          <w:rFonts w:hint="eastAsia" w:ascii="仿宋" w:hAnsi="仿宋" w:eastAsia="仿宋" w:cs="仿宋"/>
          <w:lang w:val="en-US" w:eastAsia="zh-CN"/>
        </w:rPr>
      </w:pPr>
    </w:p>
    <w:p w14:paraId="0E3E1A43">
      <w:pPr>
        <w:bidi w:val="0"/>
        <w:ind w:left="0" w:leftChars="0" w:firstLine="0" w:firstLineChars="0"/>
        <w:jc w:val="center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  <w:t>贵溪发电有限责任公司烟囱、冷却塔美化喷涂工程</w:t>
      </w:r>
    </w:p>
    <w:p w14:paraId="0466360C">
      <w:pPr>
        <w:bidi w:val="0"/>
        <w:rPr>
          <w:rFonts w:hint="eastAsia" w:ascii="仿宋" w:hAnsi="仿宋" w:eastAsia="仿宋" w:cs="仿宋"/>
        </w:rPr>
      </w:pPr>
    </w:p>
    <w:p w14:paraId="62D73888">
      <w:pPr>
        <w:pStyle w:val="7"/>
        <w:rPr>
          <w:rFonts w:hint="eastAsia"/>
        </w:rPr>
      </w:pPr>
    </w:p>
    <w:p w14:paraId="60342254">
      <w:pPr>
        <w:bidi w:val="0"/>
        <w:rPr>
          <w:rFonts w:hint="eastAsia" w:ascii="仿宋" w:hAnsi="仿宋" w:eastAsia="仿宋" w:cs="仿宋"/>
        </w:rPr>
      </w:pPr>
    </w:p>
    <w:p w14:paraId="3E960D17">
      <w:pPr>
        <w:bidi w:val="0"/>
        <w:rPr>
          <w:rFonts w:hint="eastAsia" w:ascii="仿宋" w:hAnsi="仿宋" w:eastAsia="仿宋" w:cs="仿宋"/>
          <w:lang w:val="en-US" w:eastAsia="zh-CN"/>
        </w:rPr>
      </w:pPr>
    </w:p>
    <w:p w14:paraId="217910AA">
      <w:pPr>
        <w:bidi w:val="0"/>
        <w:rPr>
          <w:rFonts w:hint="eastAsia" w:ascii="仿宋" w:hAnsi="仿宋" w:eastAsia="仿宋" w:cs="仿宋"/>
          <w:lang w:val="en-US" w:eastAsia="zh-CN"/>
        </w:rPr>
      </w:pPr>
    </w:p>
    <w:p w14:paraId="4B15E4A7">
      <w:pPr>
        <w:bidi w:val="0"/>
        <w:ind w:firstLine="3132" w:firstLineChars="600"/>
        <w:jc w:val="both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  <w:t>技术文件</w:t>
      </w:r>
    </w:p>
    <w:p w14:paraId="21F1C957">
      <w:pPr>
        <w:bidi w:val="0"/>
        <w:rPr>
          <w:rFonts w:hint="eastAsia" w:ascii="仿宋" w:hAnsi="仿宋" w:eastAsia="仿宋" w:cs="仿宋"/>
        </w:rPr>
      </w:pPr>
    </w:p>
    <w:p w14:paraId="53C5CCF2">
      <w:pPr>
        <w:bidi w:val="0"/>
        <w:rPr>
          <w:rFonts w:hint="eastAsia" w:ascii="仿宋" w:hAnsi="仿宋" w:eastAsia="仿宋" w:cs="仿宋"/>
        </w:rPr>
      </w:pPr>
    </w:p>
    <w:p w14:paraId="66543E8C">
      <w:pPr>
        <w:bidi w:val="0"/>
        <w:rPr>
          <w:rFonts w:hint="eastAsia" w:ascii="仿宋" w:hAnsi="仿宋" w:eastAsia="仿宋" w:cs="仿宋"/>
        </w:rPr>
      </w:pPr>
    </w:p>
    <w:p w14:paraId="48F06A82">
      <w:pPr>
        <w:bidi w:val="0"/>
        <w:rPr>
          <w:rFonts w:hint="eastAsia" w:ascii="仿宋" w:hAnsi="仿宋" w:eastAsia="仿宋" w:cs="仿宋"/>
        </w:rPr>
      </w:pPr>
    </w:p>
    <w:p w14:paraId="4A32DB69">
      <w:pPr>
        <w:bidi w:val="0"/>
        <w:rPr>
          <w:rFonts w:hint="eastAsia" w:ascii="仿宋" w:hAnsi="仿宋" w:eastAsia="仿宋" w:cs="仿宋"/>
        </w:rPr>
      </w:pPr>
    </w:p>
    <w:p w14:paraId="1C183159">
      <w:pPr>
        <w:bidi w:val="0"/>
        <w:rPr>
          <w:rFonts w:hint="eastAsia" w:ascii="仿宋" w:hAnsi="仿宋" w:eastAsia="仿宋" w:cs="仿宋"/>
        </w:rPr>
      </w:pPr>
    </w:p>
    <w:p w14:paraId="6DA86C5A">
      <w:pPr>
        <w:bidi w:val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60A78FB">
      <w:pPr>
        <w:bidi w:val="0"/>
        <w:rPr>
          <w:rFonts w:hint="eastAsia" w:ascii="仿宋" w:hAnsi="仿宋" w:eastAsia="仿宋" w:cs="仿宋"/>
          <w:lang w:val="en-US" w:eastAsia="zh-CN"/>
        </w:rPr>
      </w:pPr>
    </w:p>
    <w:p w14:paraId="227F8881">
      <w:pPr>
        <w:bidi w:val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江苏宏亚高空工程有限公司</w:t>
      </w:r>
    </w:p>
    <w:p w14:paraId="2B6E85FB">
      <w:pPr>
        <w:bidi w:val="0"/>
        <w:jc w:val="center"/>
        <w:rPr>
          <w:rFonts w:hint="eastAsia" w:ascii="宋体" w:hAnsi="宋体" w:eastAsia="仿宋" w:cs="宋体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日期：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08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29</w:t>
      </w:r>
      <w:bookmarkStart w:id="36" w:name="_GoBack"/>
      <w:bookmarkEnd w:id="36"/>
      <w:r>
        <w:rPr>
          <w:rFonts w:hint="eastAsia" w:ascii="仿宋" w:hAnsi="仿宋" w:eastAsia="仿宋" w:cs="仿宋"/>
          <w:sz w:val="28"/>
          <w:szCs w:val="28"/>
          <w:lang w:eastAsia="zh-CN"/>
        </w:rPr>
        <w:t>日</w:t>
      </w:r>
    </w:p>
    <w:p w14:paraId="222E08D9">
      <w:pPr>
        <w:bidi w:val="0"/>
        <w:rPr>
          <w:rFonts w:hint="eastAsia"/>
        </w:rPr>
        <w:sectPr>
          <w:footerReference r:id="rId6" w:type="first"/>
          <w:footerReference r:id="rId5" w:type="default"/>
          <w:pgSz w:w="11906" w:h="16838"/>
          <w:pgMar w:top="1732" w:right="1800" w:bottom="1440" w:left="1800" w:header="227" w:footer="454" w:gutter="0"/>
          <w:pgNumType w:fmt="decimal"/>
          <w:cols w:space="425" w:num="1"/>
          <w:titlePg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8"/>
          <w:szCs w:val="28"/>
          <w:lang w:val="en-US" w:eastAsia="zh-CN" w:bidi="ar-SA"/>
        </w:rPr>
        <w:id w:val="147451826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sdtEndPr>
      <w:sdtContent>
        <w:p w14:paraId="2217E17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8"/>
              <w:szCs w:val="28"/>
            </w:rPr>
          </w:pPr>
          <w:r>
            <w:rPr>
              <w:rFonts w:ascii="宋体" w:hAnsi="宋体" w:eastAsia="宋体"/>
              <w:sz w:val="28"/>
              <w:szCs w:val="28"/>
            </w:rPr>
            <w:t>目录</w:t>
          </w:r>
        </w:p>
        <w:p w14:paraId="6EBE608C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1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1"/>
              <w:szCs w:val="24"/>
              <w:lang w:val="en-US" w:eastAsia="zh-CN" w:bidi="ar-SA"/>
            </w:rPr>
            <w:instrText xml:space="preserve">TOC \o "1-9" \h \u </w:instrText>
          </w:r>
          <w:r>
            <w:rPr>
              <w:rFonts w:hint="eastAsia" w:ascii="Times New Roman" w:hAnsi="Times New Roman" w:eastAsia="宋体" w:cs="Times New Roman"/>
              <w:kern w:val="2"/>
              <w:sz w:val="21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_Toc16612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一、编制说明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_Toc16612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22AECBB3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_Toc20221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（一）编制依据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_Toc20221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406CA967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_Toc20755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（二）编制目的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6FC8DF1C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_Toc24544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（三）适用范围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45EFABA0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_Toc26046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二、工程概况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34DC91EF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_Toc10495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（一）项目基本信息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1B95EF4C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_Toc3533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三、施工准备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0A209376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_Toc30599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（一）人员准备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7FFAA8D1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_Toc24121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（二）设备与材料准备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7A6635DB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_Toc18033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（三）现场准备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14A078AF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_Toc24850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四、主要施工方案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8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715F15B0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_Toc24254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（一）现场勘察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8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2CBA0064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_Toc26302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（二）基层处理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8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219340FB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_Toc20131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（三）涂刷施工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9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0DA57421">
          <w:pPr>
            <w:pStyle w:val="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_Toc20088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1. 涂刷流程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9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16D2CAB4">
          <w:pPr>
            <w:pStyle w:val="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_Toc17117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2. 涂刷方法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9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15EAC3C0">
          <w:pPr>
            <w:pStyle w:val="11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_Toc31408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（1）刷涂施工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9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51DAB37F">
          <w:pPr>
            <w:pStyle w:val="11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_Toc545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（2）喷涂施工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9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43B5478B">
          <w:pPr>
            <w:pStyle w:val="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_Toc21829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3. 各涂层施工要求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9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05D54D46">
          <w:pPr>
            <w:pStyle w:val="6"/>
            <w:tabs>
              <w:tab w:val="right" w:leader="dot" w:pos="8306"/>
            </w:tabs>
            <w:rPr>
              <w:rFonts w:hint="default"/>
              <w:sz w:val="24"/>
              <w:szCs w:val="24"/>
              <w:lang w:val="en-US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_Toc31967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4. 施工环境控制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  <w:r>
            <w:rPr>
              <w:rFonts w:hint="eastAsia" w:cs="Times New Roman"/>
              <w:kern w:val="2"/>
              <w:sz w:val="24"/>
              <w:szCs w:val="24"/>
              <w:lang w:val="en-US" w:eastAsia="zh-CN" w:bidi="ar-SA"/>
            </w:rPr>
            <w:t>0</w:t>
          </w:r>
        </w:p>
        <w:p w14:paraId="4B00354C">
          <w:pPr>
            <w:pStyle w:val="10"/>
            <w:tabs>
              <w:tab w:val="right" w:leader="dot" w:pos="8306"/>
            </w:tabs>
            <w:rPr>
              <w:rFonts w:hint="default"/>
              <w:sz w:val="24"/>
              <w:szCs w:val="24"/>
              <w:lang w:val="en-US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_Toc16891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五、质量控制措施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  <w:r>
            <w:rPr>
              <w:rFonts w:hint="eastAsia" w:cs="Times New Roman"/>
              <w:kern w:val="2"/>
              <w:sz w:val="24"/>
              <w:szCs w:val="24"/>
              <w:lang w:val="en-US" w:eastAsia="zh-CN" w:bidi="ar-SA"/>
            </w:rPr>
            <w:t>0</w:t>
          </w:r>
        </w:p>
        <w:p w14:paraId="4925B724">
          <w:pPr>
            <w:pStyle w:val="10"/>
            <w:tabs>
              <w:tab w:val="right" w:leader="dot" w:pos="8306"/>
            </w:tabs>
            <w:rPr>
              <w:rFonts w:hint="default"/>
              <w:sz w:val="24"/>
              <w:szCs w:val="24"/>
              <w:lang w:val="en-US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_Toc3950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六、安全管理措施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  <w:r>
            <w:rPr>
              <w:rFonts w:hint="eastAsia" w:cs="Times New Roman"/>
              <w:kern w:val="2"/>
              <w:sz w:val="24"/>
              <w:szCs w:val="24"/>
              <w:lang w:val="en-US" w:eastAsia="zh-CN" w:bidi="ar-SA"/>
            </w:rPr>
            <w:t>1</w:t>
          </w:r>
        </w:p>
        <w:p w14:paraId="0FA78FF2">
          <w:pPr>
            <w:pStyle w:val="10"/>
            <w:tabs>
              <w:tab w:val="right" w:leader="dot" w:pos="8306"/>
            </w:tabs>
            <w:rPr>
              <w:rFonts w:hint="default"/>
              <w:sz w:val="24"/>
              <w:szCs w:val="24"/>
              <w:lang w:val="en-US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_Toc8641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七、应急预案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  <w:r>
            <w:rPr>
              <w:rFonts w:hint="eastAsia" w:cs="Times New Roman"/>
              <w:kern w:val="2"/>
              <w:sz w:val="24"/>
              <w:szCs w:val="24"/>
              <w:lang w:val="en-US" w:eastAsia="zh-CN" w:bidi="ar-SA"/>
            </w:rPr>
            <w:t>2</w:t>
          </w:r>
        </w:p>
        <w:p w14:paraId="4771B9BB">
          <w:pPr>
            <w:pStyle w:val="12"/>
            <w:tabs>
              <w:tab w:val="right" w:leader="dot" w:pos="8306"/>
            </w:tabs>
            <w:rPr>
              <w:rFonts w:hint="default"/>
              <w:sz w:val="24"/>
              <w:szCs w:val="24"/>
              <w:lang w:val="en-US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_Toc8303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（一）应急组织机构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  <w:r>
            <w:rPr>
              <w:rFonts w:hint="eastAsia" w:cs="Times New Roman"/>
              <w:kern w:val="2"/>
              <w:sz w:val="24"/>
              <w:szCs w:val="24"/>
              <w:lang w:val="en-US" w:eastAsia="zh-CN" w:bidi="ar-SA"/>
            </w:rPr>
            <w:t>2</w:t>
          </w:r>
        </w:p>
        <w:p w14:paraId="624F05E6">
          <w:pPr>
            <w:pStyle w:val="12"/>
            <w:tabs>
              <w:tab w:val="right" w:leader="dot" w:pos="8306"/>
            </w:tabs>
            <w:rPr>
              <w:rFonts w:hint="default"/>
              <w:sz w:val="24"/>
              <w:szCs w:val="24"/>
              <w:lang w:val="en-US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_Toc21088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（二）应急准备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  <w:r>
            <w:rPr>
              <w:rFonts w:hint="eastAsia" w:cs="Times New Roman"/>
              <w:kern w:val="2"/>
              <w:sz w:val="24"/>
              <w:szCs w:val="24"/>
              <w:lang w:val="en-US" w:eastAsia="zh-CN" w:bidi="ar-SA"/>
            </w:rPr>
            <w:t>2</w:t>
          </w:r>
        </w:p>
        <w:p w14:paraId="3FB10939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_Toc1486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（三）常见事故应急处置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_Toc1486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600C21D3">
          <w:pPr>
            <w:pStyle w:val="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_Toc22070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1. 高空坠落事故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_Toc22070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2DF47C2D">
          <w:pPr>
            <w:pStyle w:val="6"/>
            <w:tabs>
              <w:tab w:val="right" w:leader="dot" w:pos="8306"/>
            </w:tabs>
            <w:rPr>
              <w:rFonts w:hint="default"/>
              <w:sz w:val="24"/>
              <w:szCs w:val="24"/>
              <w:lang w:val="en-US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_Toc4499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2. 火灾事故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  <w:r>
            <w:rPr>
              <w:rFonts w:hint="eastAsia" w:cs="Times New Roman"/>
              <w:kern w:val="2"/>
              <w:sz w:val="24"/>
              <w:szCs w:val="24"/>
              <w:lang w:val="en-US" w:eastAsia="zh-CN" w:bidi="ar-SA"/>
            </w:rPr>
            <w:t>3</w:t>
          </w:r>
        </w:p>
        <w:p w14:paraId="75E59595">
          <w:pPr>
            <w:pStyle w:val="6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_Toc21420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3. 触电事故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  <w:r>
            <w:rPr>
              <w:rFonts w:hint="eastAsia" w:cs="Times New Roman"/>
              <w:kern w:val="2"/>
              <w:sz w:val="24"/>
              <w:szCs w:val="24"/>
              <w:lang w:val="en-US" w:eastAsia="zh-CN" w:bidi="ar-SA"/>
            </w:rPr>
            <w:t>3</w:t>
          </w:r>
        </w:p>
        <w:p w14:paraId="5223E674">
          <w:pPr>
            <w:pStyle w:val="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_Toc774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4. 中毒事故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_Toc774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rFonts w:hint="eastAsia"/>
              <w:sz w:val="24"/>
              <w:szCs w:val="24"/>
              <w:lang w:val="en-US" w:eastAsia="zh-CN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7E1EC86A">
          <w:pPr>
            <w:pStyle w:val="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_Toc23932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5. 吊篮故障事故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_Toc23932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rFonts w:hint="eastAsia"/>
              <w:sz w:val="24"/>
              <w:szCs w:val="24"/>
              <w:lang w:val="en-US" w:eastAsia="zh-CN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2C3427BD"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_Toc30777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（四）应急报告与后期处理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_Toc30777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rFonts w:hint="eastAsia"/>
              <w:sz w:val="24"/>
              <w:szCs w:val="24"/>
              <w:lang w:val="en-US" w:eastAsia="zh-CN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69730A65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_Toc16018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八、施工进度计划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_Toc16018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27E7ED6F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_Toc10506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九、文明施工与环保措施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_Toc10506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2F289DFA">
          <w:pPr>
            <w:pStyle w:val="10"/>
            <w:tabs>
              <w:tab w:val="right" w:leader="dot" w:pos="8306"/>
            </w:tabs>
            <w:rPr>
              <w:rFonts w:hint="default"/>
              <w:sz w:val="24"/>
              <w:szCs w:val="24"/>
              <w:lang w:val="en-US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_Toc28037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十、竣工资料移交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  <w:r>
            <w:rPr>
              <w:rFonts w:hint="eastAsia" w:cs="Times New Roman"/>
              <w:kern w:val="2"/>
              <w:sz w:val="24"/>
              <w:szCs w:val="24"/>
              <w:lang w:val="en-US" w:eastAsia="zh-CN" w:bidi="ar-SA"/>
            </w:rPr>
            <w:t>5</w:t>
          </w:r>
        </w:p>
        <w:p w14:paraId="235FA542">
          <w:pPr>
            <w:pStyle w:val="10"/>
            <w:tabs>
              <w:tab w:val="right" w:leader="dot" w:pos="8306"/>
            </w:tabs>
            <w:rPr>
              <w:rFonts w:hint="default"/>
              <w:sz w:val="24"/>
              <w:szCs w:val="24"/>
              <w:lang w:val="en-US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_Toc7963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十一、保障措施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  <w:r>
            <w:rPr>
              <w:rFonts w:hint="eastAsia" w:cs="Times New Roman"/>
              <w:kern w:val="2"/>
              <w:sz w:val="24"/>
              <w:szCs w:val="24"/>
              <w:lang w:val="en-US" w:eastAsia="zh-CN" w:bidi="ar-SA"/>
            </w:rPr>
            <w:t>6</w:t>
          </w:r>
        </w:p>
        <w:p w14:paraId="658400E8">
          <w:pPr>
            <w:pStyle w:val="10"/>
            <w:tabs>
              <w:tab w:val="right" w:leader="dot" w:pos="8306"/>
            </w:tabs>
            <w:rPr>
              <w:rFonts w:hint="default"/>
              <w:lang w:val="en-US"/>
            </w:rPr>
          </w:pP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instrText xml:space="preserve"> HYPERLINK \l _Toc11573 </w:instrTex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>附：施工人员必须具有高空作业资格证</w:t>
          </w:r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="Times New Roman" w:hAnsi="Times New Roman" w:eastAsia="宋体" w:cs="Times New Roman"/>
              <w:kern w:val="2"/>
              <w:sz w:val="24"/>
              <w:szCs w:val="24"/>
              <w:lang w:val="en-US" w:eastAsia="zh-CN" w:bidi="ar-SA"/>
            </w:rPr>
            <w:fldChar w:fldCharType="end"/>
          </w:r>
          <w:r>
            <w:rPr>
              <w:rFonts w:hint="eastAsia" w:cs="Times New Roman"/>
              <w:kern w:val="2"/>
              <w:sz w:val="24"/>
              <w:szCs w:val="24"/>
              <w:lang w:val="en-US" w:eastAsia="zh-CN" w:bidi="ar-SA"/>
            </w:rPr>
            <w:t>7</w:t>
          </w:r>
        </w:p>
        <w:p w14:paraId="13A9215D">
          <w:pPr>
            <w:bidi w:val="0"/>
            <w:ind w:left="0" w:leftChars="0" w:firstLine="0" w:firstLineChars="0"/>
            <w:rPr>
              <w:rFonts w:hint="eastAsia" w:ascii="Times New Roman" w:hAnsi="Times New Roman" w:eastAsia="宋体" w:cs="Times New Roman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="Times New Roman" w:hAnsi="Times New Roman" w:eastAsia="宋体" w:cs="Times New Roman"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 w14:paraId="5B04FB9B">
      <w:pPr>
        <w:bidi w:val="0"/>
        <w:ind w:left="0" w:leftChars="0" w:firstLine="0" w:firstLineChars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sectPr>
          <w:pgSz w:w="11906" w:h="16838"/>
          <w:pgMar w:top="1732" w:right="1800" w:bottom="1440" w:left="1800" w:header="227" w:footer="454" w:gutter="0"/>
          <w:pgNumType w:fmt="decimal"/>
          <w:cols w:space="425" w:num="1"/>
          <w:titlePg/>
          <w:docGrid w:type="lines" w:linePitch="312" w:charSpace="0"/>
        </w:sectPr>
      </w:pPr>
    </w:p>
    <w:p w14:paraId="1584BAA5">
      <w:pPr>
        <w:widowControl/>
        <w:numPr>
          <w:ilvl w:val="0"/>
          <w:numId w:val="0"/>
        </w:numPr>
        <w:spacing w:line="240" w:lineRule="auto"/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0" w:name="_Toc16612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一、编制说明</w:t>
      </w:r>
      <w:bookmarkEnd w:id="0"/>
    </w:p>
    <w:p w14:paraId="2830C1FF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1" w:name="_Toc20221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（一）编制依据</w:t>
      </w:r>
      <w:bookmarkEnd w:id="1"/>
    </w:p>
    <w:p w14:paraId="7278A3E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2" w:name="_Toc20755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《燃煤火力发电企业设备检修导则》DL/T838-2017</w:t>
      </w:r>
    </w:p>
    <w:p w14:paraId="65E5256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《火电施工质量检验及评定标准》〈土建工程篇〉</w:t>
      </w:r>
    </w:p>
    <w:p w14:paraId="6EED2A3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《双曲线冷却塔工程施工及验收规范》</w:t>
      </w:r>
    </w:p>
    <w:p w14:paraId="1C91E6F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《建筑机械与设备焊接通用技术条件》JG/5082.1  </w:t>
      </w:r>
    </w:p>
    <w:p w14:paraId="395069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《机械通风冷却塔工艺设计规范》GB/T 50392   </w:t>
      </w:r>
    </w:p>
    <w:p w14:paraId="65B621F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《工业冷却塔测试规程》DL/T 1027-2006   </w:t>
      </w:r>
    </w:p>
    <w:p w14:paraId="09DCFAD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《建筑地基基础设计规范》GB50007</w:t>
      </w:r>
    </w:p>
    <w:p w14:paraId="0A1AF87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《混凝土工程施工验收规范》GBS0204</w:t>
      </w:r>
    </w:p>
    <w:p w14:paraId="7C3024D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《钢筋焊接及验收规程》JGJ18</w:t>
      </w:r>
    </w:p>
    <w:p w14:paraId="75FBF34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《组合钢模板技术规范》GB50214</w:t>
      </w:r>
    </w:p>
    <w:p w14:paraId="105FAF3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《电力建设施工及验收技术规范》（建筑工程篇）SDJ69</w:t>
      </w:r>
    </w:p>
    <w:p w14:paraId="5B8C7F3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《建筑工程项目管理规范》GB/T50326</w:t>
      </w:r>
    </w:p>
    <w:p w14:paraId="196A805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《建筑施工扣件式钢管脚手架安全技术规范》JGJ130</w:t>
      </w:r>
    </w:p>
    <w:p w14:paraId="5AF2E13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《电力建设安全工作规程》DL5009.1</w:t>
      </w:r>
    </w:p>
    <w:p w14:paraId="7DCD64D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《建筑机械使用安全技术规程》JGJ33</w:t>
      </w:r>
    </w:p>
    <w:p w14:paraId="58641DE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《电气装置安装工程接地装置施工及验收规范》GB50169</w:t>
      </w:r>
    </w:p>
    <w:p w14:paraId="0F7949F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《建筑施工安全检查标准》JGJ23</w:t>
      </w:r>
    </w:p>
    <w:p w14:paraId="472B5FE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《建筑工程施工现场供用电安全规范》GB50194</w:t>
      </w:r>
    </w:p>
    <w:p w14:paraId="2013CF2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《建筑施工手册》第四版</w:t>
      </w:r>
    </w:p>
    <w:p w14:paraId="09296F8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《混凝土结构加固技术规范》CECS25：90</w:t>
      </w:r>
    </w:p>
    <w:p w14:paraId="0F53B3D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《混凝土结构加固设计规范》GB50367</w:t>
      </w:r>
    </w:p>
    <w:p w14:paraId="2A17DA2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《混凝土结构工程施工质量验收规范》GB50201</w:t>
      </w:r>
    </w:p>
    <w:p w14:paraId="0D8D96F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《建筑工程施工质量验收统一标准》GBJ50300</w:t>
      </w:r>
    </w:p>
    <w:p w14:paraId="254DBA1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《建筑机械使用安全技术规范》JGJ33</w:t>
      </w:r>
    </w:p>
    <w:p w14:paraId="6BD0F22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《电力建设施工质量验收及评定规程》第一部分：土建工程DL/T5210.1</w:t>
      </w:r>
    </w:p>
    <w:p w14:paraId="34D850D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以上所有标准都应是最新版本，如标准间出现矛盾时，或有未列出的规范时，则按最高标准执行或按双方商定的标准执行。</w:t>
      </w:r>
    </w:p>
    <w:p w14:paraId="15690128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（二）编制目的</w:t>
      </w:r>
      <w:bookmarkEnd w:id="2"/>
    </w:p>
    <w:p w14:paraId="35BA2572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明确本项目施工流程、技术标准、安全保障及应急处置措施，指导施工全过程规范开展，确保按时、保质、安全完成美化喷涂工作，满足招标方对工程质量、工期及安全文明施工的各项要求。</w:t>
      </w:r>
    </w:p>
    <w:p w14:paraId="6D62013D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3" w:name="_Toc24544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（三）适用范围</w:t>
      </w:r>
      <w:bookmarkEnd w:id="3"/>
    </w:p>
    <w:p w14:paraId="5BC6BE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本方案适用于贵溪发电有限责任公司烟囱、冷却塔美化喷涂工程。</w:t>
      </w:r>
    </w:p>
    <w:p w14:paraId="279379EA">
      <w:pPr>
        <w:widowControl/>
        <w:numPr>
          <w:ilvl w:val="0"/>
          <w:numId w:val="0"/>
        </w:numPr>
        <w:spacing w:line="240" w:lineRule="auto"/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4" w:name="_Toc26046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二、工程概况</w:t>
      </w:r>
      <w:bookmarkEnd w:id="4"/>
    </w:p>
    <w:p w14:paraId="1A830E2A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5" w:name="_Toc10495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（一）项目基本信息</w:t>
      </w:r>
      <w:bookmarkEnd w:id="5"/>
    </w:p>
    <w:p w14:paraId="54E74FCB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1.冷却塔共4座</w:t>
      </w:r>
    </w:p>
    <w:tbl>
      <w:tblPr>
        <w:tblStyle w:val="15"/>
        <w:tblW w:w="95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3"/>
        <w:gridCol w:w="1001"/>
        <w:gridCol w:w="1744"/>
        <w:gridCol w:w="1514"/>
        <w:gridCol w:w="2465"/>
      </w:tblGrid>
      <w:tr w14:paraId="20FA6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4" w:type="dxa"/>
            <w:noWrap w:val="0"/>
            <w:vAlign w:val="center"/>
          </w:tcPr>
          <w:p w14:paraId="0133CF83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123" w:type="dxa"/>
            <w:noWrap w:val="0"/>
            <w:vAlign w:val="center"/>
          </w:tcPr>
          <w:p w14:paraId="3B69870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001" w:type="dxa"/>
            <w:noWrap w:val="0"/>
            <w:vAlign w:val="center"/>
          </w:tcPr>
          <w:p w14:paraId="16ADDD8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单位</w:t>
            </w:r>
          </w:p>
        </w:tc>
        <w:tc>
          <w:tcPr>
            <w:tcW w:w="1744" w:type="dxa"/>
            <w:noWrap w:val="0"/>
            <w:vAlign w:val="center"/>
          </w:tcPr>
          <w:p w14:paraId="77B47128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#1、2冷却塔</w:t>
            </w:r>
          </w:p>
        </w:tc>
        <w:tc>
          <w:tcPr>
            <w:tcW w:w="1514" w:type="dxa"/>
            <w:noWrap w:val="0"/>
            <w:vAlign w:val="center"/>
          </w:tcPr>
          <w:p w14:paraId="3E8FA243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#3、4冷却塔</w:t>
            </w:r>
          </w:p>
        </w:tc>
        <w:tc>
          <w:tcPr>
            <w:tcW w:w="2465" w:type="dxa"/>
            <w:noWrap w:val="0"/>
            <w:vAlign w:val="center"/>
          </w:tcPr>
          <w:p w14:paraId="6515A43D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备注</w:t>
            </w:r>
          </w:p>
        </w:tc>
      </w:tr>
      <w:tr w14:paraId="68677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4" w:type="dxa"/>
            <w:noWrap w:val="0"/>
            <w:vAlign w:val="center"/>
          </w:tcPr>
          <w:p w14:paraId="017789F0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123" w:type="dxa"/>
            <w:noWrap w:val="0"/>
            <w:vAlign w:val="center"/>
          </w:tcPr>
          <w:p w14:paraId="1541AF55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冷却塔淋水面积</w:t>
            </w:r>
          </w:p>
        </w:tc>
        <w:tc>
          <w:tcPr>
            <w:tcW w:w="1001" w:type="dxa"/>
            <w:noWrap w:val="0"/>
            <w:vAlign w:val="center"/>
          </w:tcPr>
          <w:p w14:paraId="01205F9D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m2</w:t>
            </w:r>
          </w:p>
        </w:tc>
        <w:tc>
          <w:tcPr>
            <w:tcW w:w="1744" w:type="dxa"/>
            <w:noWrap w:val="0"/>
            <w:vAlign w:val="center"/>
          </w:tcPr>
          <w:p w14:paraId="35A71E3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6500</w:t>
            </w:r>
          </w:p>
        </w:tc>
        <w:tc>
          <w:tcPr>
            <w:tcW w:w="1514" w:type="dxa"/>
            <w:noWrap w:val="0"/>
            <w:vAlign w:val="center"/>
          </w:tcPr>
          <w:p w14:paraId="1E37BE6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5500</w:t>
            </w:r>
          </w:p>
        </w:tc>
        <w:tc>
          <w:tcPr>
            <w:tcW w:w="2465" w:type="dxa"/>
            <w:noWrap w:val="0"/>
            <w:vAlign w:val="center"/>
          </w:tcPr>
          <w:p w14:paraId="18473946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14DB7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4" w:type="dxa"/>
            <w:noWrap w:val="0"/>
            <w:vAlign w:val="center"/>
          </w:tcPr>
          <w:p w14:paraId="2038464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123" w:type="dxa"/>
            <w:noWrap w:val="0"/>
            <w:vAlign w:val="center"/>
          </w:tcPr>
          <w:p w14:paraId="6A7107A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塔高(A)</w:t>
            </w:r>
          </w:p>
        </w:tc>
        <w:tc>
          <w:tcPr>
            <w:tcW w:w="1001" w:type="dxa"/>
            <w:noWrap w:val="0"/>
            <w:vAlign w:val="center"/>
          </w:tcPr>
          <w:p w14:paraId="59ADB000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44" w:type="dxa"/>
            <w:noWrap w:val="0"/>
            <w:vAlign w:val="center"/>
          </w:tcPr>
          <w:p w14:paraId="5D8D5352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120</w:t>
            </w:r>
          </w:p>
        </w:tc>
        <w:tc>
          <w:tcPr>
            <w:tcW w:w="1514" w:type="dxa"/>
            <w:noWrap w:val="0"/>
            <w:vAlign w:val="center"/>
          </w:tcPr>
          <w:p w14:paraId="7719BFF6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115</w:t>
            </w:r>
          </w:p>
        </w:tc>
        <w:tc>
          <w:tcPr>
            <w:tcW w:w="2465" w:type="dxa"/>
            <w:noWrap w:val="0"/>
            <w:vAlign w:val="center"/>
          </w:tcPr>
          <w:p w14:paraId="646E9175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1FC5C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4" w:type="dxa"/>
            <w:noWrap w:val="0"/>
            <w:vAlign w:val="center"/>
          </w:tcPr>
          <w:p w14:paraId="5A103888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123" w:type="dxa"/>
            <w:noWrap w:val="0"/>
            <w:vAlign w:val="center"/>
          </w:tcPr>
          <w:p w14:paraId="25382861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喉部高度(B)</w:t>
            </w:r>
          </w:p>
        </w:tc>
        <w:tc>
          <w:tcPr>
            <w:tcW w:w="1001" w:type="dxa"/>
            <w:noWrap w:val="0"/>
            <w:vAlign w:val="center"/>
          </w:tcPr>
          <w:p w14:paraId="70F0060A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44" w:type="dxa"/>
            <w:noWrap w:val="0"/>
            <w:vAlign w:val="center"/>
          </w:tcPr>
          <w:p w14:paraId="73250C5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95</w:t>
            </w:r>
          </w:p>
        </w:tc>
        <w:tc>
          <w:tcPr>
            <w:tcW w:w="1514" w:type="dxa"/>
            <w:noWrap w:val="0"/>
            <w:vAlign w:val="center"/>
          </w:tcPr>
          <w:p w14:paraId="0A32E4E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92</w:t>
            </w:r>
          </w:p>
        </w:tc>
        <w:tc>
          <w:tcPr>
            <w:tcW w:w="2465" w:type="dxa"/>
            <w:noWrap w:val="0"/>
            <w:vAlign w:val="center"/>
          </w:tcPr>
          <w:p w14:paraId="14754EE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5CD6F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4" w:type="dxa"/>
            <w:noWrap w:val="0"/>
            <w:vAlign w:val="center"/>
          </w:tcPr>
          <w:p w14:paraId="7213BD88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123" w:type="dxa"/>
            <w:noWrap w:val="0"/>
            <w:vAlign w:val="center"/>
          </w:tcPr>
          <w:p w14:paraId="582D8EF0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塔底直径(C)</w:t>
            </w:r>
          </w:p>
        </w:tc>
        <w:tc>
          <w:tcPr>
            <w:tcW w:w="1001" w:type="dxa"/>
            <w:noWrap w:val="0"/>
            <w:vAlign w:val="center"/>
          </w:tcPr>
          <w:p w14:paraId="77DBD23B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44" w:type="dxa"/>
            <w:noWrap w:val="0"/>
            <w:vAlign w:val="center"/>
          </w:tcPr>
          <w:p w14:paraId="6B8CB08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100</w:t>
            </w:r>
          </w:p>
        </w:tc>
        <w:tc>
          <w:tcPr>
            <w:tcW w:w="1514" w:type="dxa"/>
            <w:noWrap w:val="0"/>
            <w:vAlign w:val="center"/>
          </w:tcPr>
          <w:p w14:paraId="2B05B44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96.152</w:t>
            </w:r>
          </w:p>
        </w:tc>
        <w:tc>
          <w:tcPr>
            <w:tcW w:w="2465" w:type="dxa"/>
            <w:noWrap w:val="0"/>
            <w:vAlign w:val="center"/>
          </w:tcPr>
          <w:p w14:paraId="7BF1A97C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41E0D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4" w:type="dxa"/>
            <w:noWrap w:val="0"/>
            <w:vAlign w:val="center"/>
          </w:tcPr>
          <w:p w14:paraId="1CE765C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123" w:type="dxa"/>
            <w:noWrap w:val="0"/>
            <w:vAlign w:val="center"/>
          </w:tcPr>
          <w:p w14:paraId="36C2C71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出口直径(D)</w:t>
            </w:r>
          </w:p>
        </w:tc>
        <w:tc>
          <w:tcPr>
            <w:tcW w:w="1001" w:type="dxa"/>
            <w:noWrap w:val="0"/>
            <w:vAlign w:val="center"/>
          </w:tcPr>
          <w:p w14:paraId="096CF0C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44" w:type="dxa"/>
            <w:noWrap w:val="0"/>
            <w:vAlign w:val="center"/>
          </w:tcPr>
          <w:p w14:paraId="17E44100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56</w:t>
            </w:r>
          </w:p>
        </w:tc>
        <w:tc>
          <w:tcPr>
            <w:tcW w:w="1514" w:type="dxa"/>
            <w:noWrap w:val="0"/>
            <w:vAlign w:val="center"/>
          </w:tcPr>
          <w:p w14:paraId="5AD58FB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54.886</w:t>
            </w:r>
          </w:p>
        </w:tc>
        <w:tc>
          <w:tcPr>
            <w:tcW w:w="2465" w:type="dxa"/>
            <w:noWrap w:val="0"/>
            <w:vAlign w:val="center"/>
          </w:tcPr>
          <w:p w14:paraId="7532BA8C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1BE6E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4" w:type="dxa"/>
            <w:noWrap w:val="0"/>
            <w:vAlign w:val="center"/>
          </w:tcPr>
          <w:p w14:paraId="6E745346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123" w:type="dxa"/>
            <w:noWrap w:val="0"/>
            <w:vAlign w:val="center"/>
          </w:tcPr>
          <w:p w14:paraId="3E06865D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进风口高度(E)</w:t>
            </w:r>
          </w:p>
        </w:tc>
        <w:tc>
          <w:tcPr>
            <w:tcW w:w="1001" w:type="dxa"/>
            <w:noWrap w:val="0"/>
            <w:vAlign w:val="center"/>
          </w:tcPr>
          <w:p w14:paraId="74B247F9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44" w:type="dxa"/>
            <w:noWrap w:val="0"/>
            <w:vAlign w:val="center"/>
          </w:tcPr>
          <w:p w14:paraId="7AE4C3F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514" w:type="dxa"/>
            <w:noWrap w:val="0"/>
            <w:vAlign w:val="center"/>
          </w:tcPr>
          <w:p w14:paraId="3091E5B9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7.6</w:t>
            </w:r>
          </w:p>
        </w:tc>
        <w:tc>
          <w:tcPr>
            <w:tcW w:w="2465" w:type="dxa"/>
            <w:noWrap w:val="0"/>
            <w:vAlign w:val="center"/>
          </w:tcPr>
          <w:p w14:paraId="6160B571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183CF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4" w:type="dxa"/>
            <w:noWrap w:val="0"/>
            <w:vAlign w:val="center"/>
          </w:tcPr>
          <w:p w14:paraId="7D47333A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123" w:type="dxa"/>
            <w:noWrap w:val="0"/>
            <w:vAlign w:val="center"/>
          </w:tcPr>
          <w:p w14:paraId="3F106E7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喉部直径(F)</w:t>
            </w:r>
          </w:p>
        </w:tc>
        <w:tc>
          <w:tcPr>
            <w:tcW w:w="1001" w:type="dxa"/>
            <w:noWrap w:val="0"/>
            <w:vAlign w:val="center"/>
          </w:tcPr>
          <w:p w14:paraId="06BE16EC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44" w:type="dxa"/>
            <w:noWrap w:val="0"/>
            <w:vAlign w:val="center"/>
          </w:tcPr>
          <w:p w14:paraId="21FD9DA2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52</w:t>
            </w:r>
          </w:p>
        </w:tc>
        <w:tc>
          <w:tcPr>
            <w:tcW w:w="1514" w:type="dxa"/>
            <w:noWrap w:val="0"/>
            <w:vAlign w:val="center"/>
          </w:tcPr>
          <w:p w14:paraId="29471CD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51.2</w:t>
            </w:r>
          </w:p>
        </w:tc>
        <w:tc>
          <w:tcPr>
            <w:tcW w:w="2465" w:type="dxa"/>
            <w:noWrap w:val="0"/>
            <w:vAlign w:val="center"/>
          </w:tcPr>
          <w:p w14:paraId="3B913B7D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0A392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4" w:type="dxa"/>
            <w:noWrap w:val="0"/>
            <w:vAlign w:val="center"/>
          </w:tcPr>
          <w:p w14:paraId="4B19BBB3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123" w:type="dxa"/>
            <w:noWrap w:val="0"/>
            <w:vAlign w:val="center"/>
          </w:tcPr>
          <w:p w14:paraId="29D819D9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工程量</w:t>
            </w:r>
          </w:p>
        </w:tc>
        <w:tc>
          <w:tcPr>
            <w:tcW w:w="1001" w:type="dxa"/>
            <w:noWrap w:val="0"/>
            <w:vAlign w:val="center"/>
          </w:tcPr>
          <w:p w14:paraId="795AFDA3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m2</w:t>
            </w:r>
          </w:p>
        </w:tc>
        <w:tc>
          <w:tcPr>
            <w:tcW w:w="1744" w:type="dxa"/>
            <w:noWrap w:val="0"/>
            <w:vAlign w:val="center"/>
          </w:tcPr>
          <w:p w14:paraId="6FF12ADB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44000</w:t>
            </w:r>
          </w:p>
        </w:tc>
        <w:tc>
          <w:tcPr>
            <w:tcW w:w="1514" w:type="dxa"/>
            <w:noWrap w:val="0"/>
            <w:vAlign w:val="center"/>
          </w:tcPr>
          <w:p w14:paraId="02655569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42000</w:t>
            </w:r>
          </w:p>
        </w:tc>
        <w:tc>
          <w:tcPr>
            <w:tcW w:w="2465" w:type="dxa"/>
            <w:noWrap w:val="0"/>
            <w:vAlign w:val="center"/>
          </w:tcPr>
          <w:p w14:paraId="4D284DC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结算按实际面积计算</w:t>
            </w:r>
          </w:p>
        </w:tc>
      </w:tr>
    </w:tbl>
    <w:p w14:paraId="32E668EF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2.烟囱共2座</w:t>
      </w:r>
    </w:p>
    <w:tbl>
      <w:tblPr>
        <w:tblStyle w:val="15"/>
        <w:tblW w:w="97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2388"/>
        <w:gridCol w:w="936"/>
        <w:gridCol w:w="1752"/>
        <w:gridCol w:w="1421"/>
        <w:gridCol w:w="2511"/>
      </w:tblGrid>
      <w:tr w14:paraId="5481B0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  <w:jc w:val="center"/>
        </w:trPr>
        <w:tc>
          <w:tcPr>
            <w:tcW w:w="732" w:type="dxa"/>
            <w:noWrap w:val="0"/>
            <w:vAlign w:val="center"/>
          </w:tcPr>
          <w:p w14:paraId="08D699AC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388" w:type="dxa"/>
            <w:noWrap w:val="0"/>
            <w:vAlign w:val="center"/>
          </w:tcPr>
          <w:p w14:paraId="7F92DFB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936" w:type="dxa"/>
            <w:noWrap w:val="0"/>
            <w:vAlign w:val="center"/>
          </w:tcPr>
          <w:p w14:paraId="49D2AA10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单位</w:t>
            </w:r>
          </w:p>
        </w:tc>
        <w:tc>
          <w:tcPr>
            <w:tcW w:w="1752" w:type="dxa"/>
            <w:noWrap w:val="0"/>
            <w:vAlign w:val="center"/>
          </w:tcPr>
          <w:p w14:paraId="72E66CD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二期烟囱</w:t>
            </w:r>
          </w:p>
        </w:tc>
        <w:tc>
          <w:tcPr>
            <w:tcW w:w="1421" w:type="dxa"/>
            <w:noWrap w:val="0"/>
            <w:vAlign w:val="center"/>
          </w:tcPr>
          <w:p w14:paraId="0ED7B56B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三期烟囱</w:t>
            </w:r>
          </w:p>
        </w:tc>
        <w:tc>
          <w:tcPr>
            <w:tcW w:w="2511" w:type="dxa"/>
            <w:noWrap w:val="0"/>
            <w:vAlign w:val="center"/>
          </w:tcPr>
          <w:p w14:paraId="18B5B313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备注</w:t>
            </w:r>
          </w:p>
        </w:tc>
      </w:tr>
      <w:tr w14:paraId="719BD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  <w:jc w:val="center"/>
        </w:trPr>
        <w:tc>
          <w:tcPr>
            <w:tcW w:w="732" w:type="dxa"/>
            <w:noWrap w:val="0"/>
            <w:vAlign w:val="center"/>
          </w:tcPr>
          <w:p w14:paraId="52D8A303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388" w:type="dxa"/>
            <w:noWrap w:val="0"/>
            <w:vAlign w:val="center"/>
          </w:tcPr>
          <w:p w14:paraId="3976BAF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烟囱总高(A)</w:t>
            </w:r>
          </w:p>
        </w:tc>
        <w:tc>
          <w:tcPr>
            <w:tcW w:w="936" w:type="dxa"/>
            <w:noWrap w:val="0"/>
            <w:vAlign w:val="center"/>
          </w:tcPr>
          <w:p w14:paraId="158D885B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52" w:type="dxa"/>
            <w:noWrap w:val="0"/>
            <w:vAlign w:val="center"/>
          </w:tcPr>
          <w:p w14:paraId="2E36EDD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240</w:t>
            </w:r>
          </w:p>
        </w:tc>
        <w:tc>
          <w:tcPr>
            <w:tcW w:w="1421" w:type="dxa"/>
            <w:noWrap w:val="0"/>
            <w:vAlign w:val="center"/>
          </w:tcPr>
          <w:p w14:paraId="3DC6CB7D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240</w:t>
            </w:r>
          </w:p>
        </w:tc>
        <w:tc>
          <w:tcPr>
            <w:tcW w:w="2511" w:type="dxa"/>
            <w:noWrap w:val="0"/>
            <w:vAlign w:val="center"/>
          </w:tcPr>
          <w:p w14:paraId="393369E3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26BB6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  <w:jc w:val="center"/>
        </w:trPr>
        <w:tc>
          <w:tcPr>
            <w:tcW w:w="732" w:type="dxa"/>
            <w:noWrap w:val="0"/>
            <w:vAlign w:val="center"/>
          </w:tcPr>
          <w:p w14:paraId="50C4D708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388" w:type="dxa"/>
            <w:noWrap w:val="0"/>
            <w:vAlign w:val="center"/>
          </w:tcPr>
          <w:p w14:paraId="7048E78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出口直径(B)</w:t>
            </w:r>
          </w:p>
        </w:tc>
        <w:tc>
          <w:tcPr>
            <w:tcW w:w="936" w:type="dxa"/>
            <w:noWrap w:val="0"/>
            <w:vAlign w:val="center"/>
          </w:tcPr>
          <w:p w14:paraId="09B5CC4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52" w:type="dxa"/>
            <w:noWrap w:val="0"/>
            <w:vAlign w:val="center"/>
          </w:tcPr>
          <w:p w14:paraId="3B4270EA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7.5</w:t>
            </w:r>
          </w:p>
        </w:tc>
        <w:tc>
          <w:tcPr>
            <w:tcW w:w="1421" w:type="dxa"/>
            <w:noWrap w:val="0"/>
            <w:vAlign w:val="center"/>
          </w:tcPr>
          <w:p w14:paraId="69999085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8.8</w:t>
            </w:r>
          </w:p>
        </w:tc>
        <w:tc>
          <w:tcPr>
            <w:tcW w:w="2511" w:type="dxa"/>
            <w:noWrap w:val="0"/>
            <w:vAlign w:val="center"/>
          </w:tcPr>
          <w:p w14:paraId="1A1F6EF2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30D9C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  <w:jc w:val="center"/>
        </w:trPr>
        <w:tc>
          <w:tcPr>
            <w:tcW w:w="732" w:type="dxa"/>
            <w:noWrap w:val="0"/>
            <w:vAlign w:val="center"/>
          </w:tcPr>
          <w:p w14:paraId="7846D77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388" w:type="dxa"/>
            <w:noWrap w:val="0"/>
            <w:vAlign w:val="center"/>
          </w:tcPr>
          <w:p w14:paraId="78C448D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烟囱底直径(C)</w:t>
            </w:r>
          </w:p>
        </w:tc>
        <w:tc>
          <w:tcPr>
            <w:tcW w:w="936" w:type="dxa"/>
            <w:noWrap w:val="0"/>
            <w:vAlign w:val="center"/>
          </w:tcPr>
          <w:p w14:paraId="20DCF455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52" w:type="dxa"/>
            <w:noWrap w:val="0"/>
            <w:vAlign w:val="center"/>
          </w:tcPr>
          <w:p w14:paraId="038CBA0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24.3</w:t>
            </w:r>
          </w:p>
        </w:tc>
        <w:tc>
          <w:tcPr>
            <w:tcW w:w="1421" w:type="dxa"/>
            <w:noWrap w:val="0"/>
            <w:vAlign w:val="center"/>
          </w:tcPr>
          <w:p w14:paraId="239A0B7D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28.6</w:t>
            </w:r>
          </w:p>
        </w:tc>
        <w:tc>
          <w:tcPr>
            <w:tcW w:w="2511" w:type="dxa"/>
            <w:noWrap w:val="0"/>
            <w:vAlign w:val="center"/>
          </w:tcPr>
          <w:p w14:paraId="07CCA431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78C50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  <w:jc w:val="center"/>
        </w:trPr>
        <w:tc>
          <w:tcPr>
            <w:tcW w:w="732" w:type="dxa"/>
            <w:noWrap w:val="0"/>
            <w:vAlign w:val="center"/>
          </w:tcPr>
          <w:p w14:paraId="61F1DBD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388" w:type="dxa"/>
            <w:noWrap w:val="0"/>
            <w:vAlign w:val="center"/>
          </w:tcPr>
          <w:p w14:paraId="6DDADAD2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一层休息平台高（D）</w:t>
            </w:r>
          </w:p>
        </w:tc>
        <w:tc>
          <w:tcPr>
            <w:tcW w:w="936" w:type="dxa"/>
            <w:noWrap w:val="0"/>
            <w:vAlign w:val="center"/>
          </w:tcPr>
          <w:p w14:paraId="035A27C1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52" w:type="dxa"/>
            <w:noWrap w:val="0"/>
            <w:vAlign w:val="center"/>
          </w:tcPr>
          <w:p w14:paraId="24964CD3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center"/>
          </w:tcPr>
          <w:p w14:paraId="7779630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11" w:type="dxa"/>
            <w:noWrap w:val="0"/>
            <w:vAlign w:val="center"/>
          </w:tcPr>
          <w:p w14:paraId="72D32812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3E01B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  <w:jc w:val="center"/>
        </w:trPr>
        <w:tc>
          <w:tcPr>
            <w:tcW w:w="732" w:type="dxa"/>
            <w:noWrap w:val="0"/>
            <w:vAlign w:val="center"/>
          </w:tcPr>
          <w:p w14:paraId="3AA8A7E1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388" w:type="dxa"/>
            <w:noWrap w:val="0"/>
            <w:vAlign w:val="center"/>
          </w:tcPr>
          <w:p w14:paraId="1B7477F6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二层休息平台高（E）</w:t>
            </w:r>
          </w:p>
        </w:tc>
        <w:tc>
          <w:tcPr>
            <w:tcW w:w="936" w:type="dxa"/>
            <w:noWrap w:val="0"/>
            <w:vAlign w:val="center"/>
          </w:tcPr>
          <w:p w14:paraId="5D6479B9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52" w:type="dxa"/>
            <w:noWrap w:val="0"/>
            <w:vAlign w:val="center"/>
          </w:tcPr>
          <w:p w14:paraId="7AD9D2B0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center"/>
          </w:tcPr>
          <w:p w14:paraId="5873E1E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11" w:type="dxa"/>
            <w:noWrap w:val="0"/>
            <w:vAlign w:val="center"/>
          </w:tcPr>
          <w:p w14:paraId="57DF16FA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488AB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  <w:jc w:val="center"/>
        </w:trPr>
        <w:tc>
          <w:tcPr>
            <w:tcW w:w="732" w:type="dxa"/>
            <w:noWrap w:val="0"/>
            <w:vAlign w:val="center"/>
          </w:tcPr>
          <w:p w14:paraId="5BDD7D32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388" w:type="dxa"/>
            <w:noWrap w:val="0"/>
            <w:vAlign w:val="center"/>
          </w:tcPr>
          <w:p w14:paraId="38D1F63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三层休息平台高（F）</w:t>
            </w:r>
          </w:p>
        </w:tc>
        <w:tc>
          <w:tcPr>
            <w:tcW w:w="936" w:type="dxa"/>
            <w:noWrap w:val="0"/>
            <w:vAlign w:val="center"/>
          </w:tcPr>
          <w:p w14:paraId="4344A2F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52" w:type="dxa"/>
            <w:noWrap w:val="0"/>
            <w:vAlign w:val="center"/>
          </w:tcPr>
          <w:p w14:paraId="3DBD5C7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center"/>
          </w:tcPr>
          <w:p w14:paraId="024E8A2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11" w:type="dxa"/>
            <w:noWrap w:val="0"/>
            <w:vAlign w:val="center"/>
          </w:tcPr>
          <w:p w14:paraId="0550325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0D66E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  <w:jc w:val="center"/>
        </w:trPr>
        <w:tc>
          <w:tcPr>
            <w:tcW w:w="732" w:type="dxa"/>
            <w:noWrap w:val="0"/>
            <w:vAlign w:val="center"/>
          </w:tcPr>
          <w:p w14:paraId="1CD5A5C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388" w:type="dxa"/>
            <w:noWrap w:val="0"/>
            <w:vAlign w:val="center"/>
          </w:tcPr>
          <w:p w14:paraId="301FB9C9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四层休息平台高（G）</w:t>
            </w:r>
          </w:p>
        </w:tc>
        <w:tc>
          <w:tcPr>
            <w:tcW w:w="936" w:type="dxa"/>
            <w:noWrap w:val="0"/>
            <w:vAlign w:val="center"/>
          </w:tcPr>
          <w:p w14:paraId="3494618C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52" w:type="dxa"/>
            <w:noWrap w:val="0"/>
            <w:vAlign w:val="center"/>
          </w:tcPr>
          <w:p w14:paraId="086CEAF8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center"/>
          </w:tcPr>
          <w:p w14:paraId="306A3D18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11" w:type="dxa"/>
            <w:noWrap w:val="0"/>
            <w:vAlign w:val="center"/>
          </w:tcPr>
          <w:p w14:paraId="7CD62583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0935C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  <w:jc w:val="center"/>
        </w:trPr>
        <w:tc>
          <w:tcPr>
            <w:tcW w:w="732" w:type="dxa"/>
            <w:noWrap w:val="0"/>
            <w:vAlign w:val="center"/>
          </w:tcPr>
          <w:p w14:paraId="4F43C8DC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388" w:type="dxa"/>
            <w:noWrap w:val="0"/>
            <w:vAlign w:val="center"/>
          </w:tcPr>
          <w:p w14:paraId="1156CFC0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爬梯起始高度（H）</w:t>
            </w:r>
          </w:p>
        </w:tc>
        <w:tc>
          <w:tcPr>
            <w:tcW w:w="936" w:type="dxa"/>
            <w:noWrap w:val="0"/>
            <w:vAlign w:val="center"/>
          </w:tcPr>
          <w:p w14:paraId="179E2D7A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</w:t>
            </w:r>
          </w:p>
        </w:tc>
        <w:tc>
          <w:tcPr>
            <w:tcW w:w="1752" w:type="dxa"/>
            <w:noWrap w:val="0"/>
            <w:vAlign w:val="center"/>
          </w:tcPr>
          <w:p w14:paraId="327B2373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21" w:type="dxa"/>
            <w:noWrap w:val="0"/>
            <w:vAlign w:val="center"/>
          </w:tcPr>
          <w:p w14:paraId="7473B71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11" w:type="dxa"/>
            <w:noWrap w:val="0"/>
            <w:vAlign w:val="center"/>
          </w:tcPr>
          <w:p w14:paraId="5B1885C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32967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  <w:jc w:val="center"/>
        </w:trPr>
        <w:tc>
          <w:tcPr>
            <w:tcW w:w="732" w:type="dxa"/>
            <w:noWrap w:val="0"/>
            <w:vAlign w:val="center"/>
          </w:tcPr>
          <w:p w14:paraId="35A4437D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388" w:type="dxa"/>
            <w:noWrap w:val="0"/>
            <w:vAlign w:val="center"/>
          </w:tcPr>
          <w:p w14:paraId="41E306D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筒壁厚度</w:t>
            </w:r>
          </w:p>
        </w:tc>
        <w:tc>
          <w:tcPr>
            <w:tcW w:w="936" w:type="dxa"/>
            <w:noWrap w:val="0"/>
            <w:vAlign w:val="center"/>
          </w:tcPr>
          <w:p w14:paraId="2224EE6A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mm</w:t>
            </w:r>
          </w:p>
        </w:tc>
        <w:tc>
          <w:tcPr>
            <w:tcW w:w="1752" w:type="dxa"/>
            <w:noWrap w:val="0"/>
            <w:vAlign w:val="center"/>
          </w:tcPr>
          <w:p w14:paraId="0B61D1D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450-650</w:t>
            </w:r>
          </w:p>
        </w:tc>
        <w:tc>
          <w:tcPr>
            <w:tcW w:w="1421" w:type="dxa"/>
            <w:noWrap w:val="0"/>
            <w:vAlign w:val="center"/>
          </w:tcPr>
          <w:p w14:paraId="581E6268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500-750</w:t>
            </w:r>
          </w:p>
        </w:tc>
        <w:tc>
          <w:tcPr>
            <w:tcW w:w="2511" w:type="dxa"/>
            <w:noWrap w:val="0"/>
            <w:vAlign w:val="center"/>
          </w:tcPr>
          <w:p w14:paraId="5C985B89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自下而上渐变</w:t>
            </w:r>
          </w:p>
        </w:tc>
      </w:tr>
      <w:tr w14:paraId="67121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  <w:jc w:val="center"/>
        </w:trPr>
        <w:tc>
          <w:tcPr>
            <w:tcW w:w="732" w:type="dxa"/>
            <w:noWrap w:val="0"/>
            <w:vAlign w:val="center"/>
          </w:tcPr>
          <w:p w14:paraId="6CEA6B69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388" w:type="dxa"/>
            <w:noWrap w:val="0"/>
            <w:vAlign w:val="center"/>
          </w:tcPr>
          <w:p w14:paraId="53EB3F2C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内衬厚度</w:t>
            </w:r>
          </w:p>
        </w:tc>
        <w:tc>
          <w:tcPr>
            <w:tcW w:w="936" w:type="dxa"/>
            <w:noWrap w:val="0"/>
            <w:vAlign w:val="center"/>
          </w:tcPr>
          <w:p w14:paraId="73487EE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mm</w:t>
            </w:r>
          </w:p>
        </w:tc>
        <w:tc>
          <w:tcPr>
            <w:tcW w:w="1752" w:type="dxa"/>
            <w:noWrap w:val="0"/>
            <w:vAlign w:val="center"/>
          </w:tcPr>
          <w:p w14:paraId="35B0281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1.5</w:t>
            </w:r>
          </w:p>
        </w:tc>
        <w:tc>
          <w:tcPr>
            <w:tcW w:w="1421" w:type="dxa"/>
            <w:noWrap w:val="0"/>
            <w:vAlign w:val="center"/>
          </w:tcPr>
          <w:p w14:paraId="15650EF8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1.8</w:t>
            </w:r>
          </w:p>
        </w:tc>
        <w:tc>
          <w:tcPr>
            <w:tcW w:w="2511" w:type="dxa"/>
            <w:noWrap w:val="0"/>
            <w:vAlign w:val="center"/>
          </w:tcPr>
          <w:p w14:paraId="6F4AEB51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钛合金钢筒</w:t>
            </w:r>
          </w:p>
        </w:tc>
      </w:tr>
      <w:tr w14:paraId="57EF9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732" w:type="dxa"/>
            <w:noWrap w:val="0"/>
            <w:vAlign w:val="center"/>
          </w:tcPr>
          <w:p w14:paraId="3EA2B11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388" w:type="dxa"/>
            <w:noWrap w:val="0"/>
            <w:vAlign w:val="center"/>
          </w:tcPr>
          <w:p w14:paraId="32F97311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工程量</w:t>
            </w:r>
          </w:p>
        </w:tc>
        <w:tc>
          <w:tcPr>
            <w:tcW w:w="936" w:type="dxa"/>
            <w:noWrap w:val="0"/>
            <w:vAlign w:val="center"/>
          </w:tcPr>
          <w:p w14:paraId="1AF1CAE5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m2</w:t>
            </w:r>
          </w:p>
        </w:tc>
        <w:tc>
          <w:tcPr>
            <w:tcW w:w="1752" w:type="dxa"/>
            <w:noWrap w:val="0"/>
            <w:vAlign w:val="center"/>
          </w:tcPr>
          <w:p w14:paraId="3E35A29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11982.24</w:t>
            </w:r>
          </w:p>
        </w:tc>
        <w:tc>
          <w:tcPr>
            <w:tcW w:w="1421" w:type="dxa"/>
            <w:noWrap w:val="0"/>
            <w:vAlign w:val="center"/>
          </w:tcPr>
          <w:p w14:paraId="20F9A48D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14092.32</w:t>
            </w:r>
          </w:p>
        </w:tc>
        <w:tc>
          <w:tcPr>
            <w:tcW w:w="2511" w:type="dxa"/>
            <w:noWrap w:val="0"/>
            <w:vAlign w:val="center"/>
          </w:tcPr>
          <w:p w14:paraId="588C175C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结算按实际面积计算</w:t>
            </w:r>
          </w:p>
        </w:tc>
      </w:tr>
    </w:tbl>
    <w:p w14:paraId="5CAE46B3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3.冷却塔、烟囱现状</w:t>
      </w:r>
    </w:p>
    <w:tbl>
      <w:tblPr>
        <w:tblStyle w:val="1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6"/>
      </w:tblGrid>
      <w:tr w14:paraId="15B4B0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  <w:jc w:val="center"/>
        </w:trPr>
        <w:tc>
          <w:tcPr>
            <w:tcW w:w="7606" w:type="dxa"/>
            <w:noWrap w:val="0"/>
            <w:vAlign w:val="center"/>
          </w:tcPr>
          <w:p w14:paraId="1FEE9D8A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640580" cy="1758950"/>
                  <wp:effectExtent l="0" t="0" r="7620" b="3175"/>
                  <wp:docPr id="1" name="图片 176" descr="809a495749374f89c6ff479a3523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76" descr="809a495749374f89c6ff479a3523f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9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426B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  <w:jc w:val="center"/>
        </w:trPr>
        <w:tc>
          <w:tcPr>
            <w:tcW w:w="7606" w:type="dxa"/>
            <w:noWrap w:val="0"/>
            <w:vAlign w:val="center"/>
          </w:tcPr>
          <w:p w14:paraId="05A31241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605020" cy="1662430"/>
                  <wp:effectExtent l="0" t="0" r="5080" b="4445"/>
                  <wp:docPr id="4" name="图片 154" descr="1e14290398b91f66a5f998e84728d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54" descr="1e14290398b91f66a5f998e84728d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9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616B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  <w:jc w:val="center"/>
        </w:trPr>
        <w:tc>
          <w:tcPr>
            <w:tcW w:w="7606" w:type="dxa"/>
            <w:noWrap w:val="0"/>
            <w:vAlign w:val="center"/>
          </w:tcPr>
          <w:p w14:paraId="5F67006D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531995" cy="1585595"/>
                  <wp:effectExtent l="0" t="0" r="1905" b="5080"/>
                  <wp:docPr id="5" name="图片 174" descr="75dbb6d42686e83455e143e4b6849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74" descr="75dbb6d42686e83455e143e4b6849a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10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995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8161F">
      <w:pPr>
        <w:widowControl/>
        <w:numPr>
          <w:ilvl w:val="0"/>
          <w:numId w:val="0"/>
        </w:numPr>
        <w:spacing w:line="240" w:lineRule="auto"/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6" w:name="_Toc3533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三、施工准备</w:t>
      </w:r>
      <w:bookmarkEnd w:id="6"/>
    </w:p>
    <w:p w14:paraId="066E5F75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7" w:name="_Toc30599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（一）人员准备</w:t>
      </w:r>
      <w:bookmarkEnd w:id="7"/>
    </w:p>
    <w:p w14:paraId="2C543C57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组建专业施工团队，项目负责人具备二级建造师及B级安全生产合格证，高空作业人员必须具有5年以上高空施工经验；特种作业人员（电工、高处作业等）持有效特种作业操作证，安全员必须持有C证。</w:t>
      </w:r>
    </w:p>
    <w:p w14:paraId="7C9F3480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所有施工人员上岗前完成厂级、车间级、班组级三级安全培训及技术交底，熟悉施工方案、安全禁令及应急措施，经考试合格后方可进场。</w:t>
      </w:r>
    </w:p>
    <w:p w14:paraId="76E3CF75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施工人员需提供职业健康体检报告，投标方为其购买符合要求的工伤保险。</w:t>
      </w:r>
    </w:p>
    <w:p w14:paraId="3E38FCBE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8" w:name="_Toc24121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（二）设备与材料准备</w:t>
      </w:r>
      <w:bookmarkEnd w:id="8"/>
    </w:p>
    <w:tbl>
      <w:tblPr>
        <w:tblStyle w:val="15"/>
        <w:tblW w:w="91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3651"/>
        <w:gridCol w:w="1685"/>
        <w:gridCol w:w="2466"/>
      </w:tblGrid>
      <w:tr w14:paraId="59D74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9160" w:type="dxa"/>
            <w:gridSpan w:val="4"/>
            <w:noWrap w:val="0"/>
            <w:vAlign w:val="center"/>
          </w:tcPr>
          <w:p w14:paraId="3F7DACC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普通“蓝天白云”涂层配套</w:t>
            </w:r>
          </w:p>
        </w:tc>
      </w:tr>
      <w:tr w14:paraId="78233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1358" w:type="dxa"/>
            <w:noWrap w:val="0"/>
            <w:vAlign w:val="center"/>
          </w:tcPr>
          <w:p w14:paraId="7C5E9FE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3651" w:type="dxa"/>
            <w:noWrap w:val="0"/>
            <w:vAlign w:val="center"/>
          </w:tcPr>
          <w:p w14:paraId="6401992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工序名称</w:t>
            </w:r>
          </w:p>
        </w:tc>
        <w:tc>
          <w:tcPr>
            <w:tcW w:w="1685" w:type="dxa"/>
            <w:noWrap w:val="0"/>
            <w:vAlign w:val="center"/>
          </w:tcPr>
          <w:p w14:paraId="0D192E42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干膜厚度</w:t>
            </w:r>
          </w:p>
        </w:tc>
        <w:tc>
          <w:tcPr>
            <w:tcW w:w="2466" w:type="dxa"/>
            <w:noWrap w:val="0"/>
            <w:vAlign w:val="center"/>
          </w:tcPr>
          <w:p w14:paraId="2EB0B5EA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备注</w:t>
            </w:r>
          </w:p>
        </w:tc>
      </w:tr>
      <w:tr w14:paraId="0D3D6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358" w:type="dxa"/>
            <w:noWrap w:val="0"/>
            <w:vAlign w:val="center"/>
          </w:tcPr>
          <w:p w14:paraId="55FC409F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第一道</w:t>
            </w:r>
          </w:p>
        </w:tc>
        <w:tc>
          <w:tcPr>
            <w:tcW w:w="3651" w:type="dxa"/>
            <w:noWrap w:val="0"/>
            <w:vAlign w:val="center"/>
          </w:tcPr>
          <w:p w14:paraId="24C53298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基层清理</w:t>
            </w:r>
          </w:p>
        </w:tc>
        <w:tc>
          <w:tcPr>
            <w:tcW w:w="1685" w:type="dxa"/>
            <w:noWrap w:val="0"/>
            <w:vAlign w:val="center"/>
          </w:tcPr>
          <w:p w14:paraId="47B79EF0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无厚度要求</w:t>
            </w:r>
          </w:p>
        </w:tc>
        <w:tc>
          <w:tcPr>
            <w:tcW w:w="2466" w:type="dxa"/>
            <w:noWrap w:val="0"/>
            <w:vAlign w:val="center"/>
          </w:tcPr>
          <w:p w14:paraId="29FD7030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50B37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358" w:type="dxa"/>
            <w:noWrap w:val="0"/>
            <w:vAlign w:val="center"/>
          </w:tcPr>
          <w:p w14:paraId="6689B9DE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第二道</w:t>
            </w:r>
          </w:p>
        </w:tc>
        <w:tc>
          <w:tcPr>
            <w:tcW w:w="3651" w:type="dxa"/>
            <w:noWrap w:val="0"/>
            <w:vAlign w:val="center"/>
          </w:tcPr>
          <w:p w14:paraId="1963B782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高耸构筑物墙体彩绘专用底漆</w:t>
            </w:r>
          </w:p>
        </w:tc>
        <w:tc>
          <w:tcPr>
            <w:tcW w:w="1685" w:type="dxa"/>
            <w:noWrap w:val="0"/>
            <w:vAlign w:val="center"/>
          </w:tcPr>
          <w:p w14:paraId="26FF11D0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50微米</w:t>
            </w:r>
          </w:p>
        </w:tc>
        <w:tc>
          <w:tcPr>
            <w:tcW w:w="2466" w:type="dxa"/>
            <w:noWrap w:val="0"/>
            <w:vAlign w:val="center"/>
          </w:tcPr>
          <w:p w14:paraId="1962EF1A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52276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358" w:type="dxa"/>
            <w:noWrap w:val="0"/>
            <w:vAlign w:val="center"/>
          </w:tcPr>
          <w:p w14:paraId="39607B7D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第三道</w:t>
            </w:r>
          </w:p>
        </w:tc>
        <w:tc>
          <w:tcPr>
            <w:tcW w:w="3651" w:type="dxa"/>
            <w:noWrap w:val="0"/>
            <w:vAlign w:val="center"/>
          </w:tcPr>
          <w:p w14:paraId="67D34217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高耸构筑物墙体彩绘专用饰面漆</w:t>
            </w:r>
          </w:p>
        </w:tc>
        <w:tc>
          <w:tcPr>
            <w:tcW w:w="1685" w:type="dxa"/>
            <w:noWrap w:val="0"/>
            <w:vAlign w:val="center"/>
          </w:tcPr>
          <w:p w14:paraId="2BE8565B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100微米</w:t>
            </w:r>
          </w:p>
        </w:tc>
        <w:tc>
          <w:tcPr>
            <w:tcW w:w="2466" w:type="dxa"/>
            <w:noWrap w:val="0"/>
            <w:vAlign w:val="center"/>
          </w:tcPr>
          <w:p w14:paraId="122136FC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590EE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358" w:type="dxa"/>
            <w:noWrap w:val="0"/>
            <w:vAlign w:val="center"/>
          </w:tcPr>
          <w:p w14:paraId="579D7A71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第四道</w:t>
            </w:r>
          </w:p>
        </w:tc>
        <w:tc>
          <w:tcPr>
            <w:tcW w:w="3651" w:type="dxa"/>
            <w:noWrap w:val="0"/>
            <w:vAlign w:val="center"/>
          </w:tcPr>
          <w:p w14:paraId="45A8B265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高耸构筑物墙体彩绘专用饰面漆</w:t>
            </w:r>
          </w:p>
        </w:tc>
        <w:tc>
          <w:tcPr>
            <w:tcW w:w="1685" w:type="dxa"/>
            <w:noWrap w:val="0"/>
            <w:vAlign w:val="center"/>
          </w:tcPr>
          <w:p w14:paraId="59485CB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无厚度要求</w:t>
            </w:r>
          </w:p>
        </w:tc>
        <w:tc>
          <w:tcPr>
            <w:tcW w:w="2466" w:type="dxa"/>
            <w:noWrap w:val="0"/>
            <w:vAlign w:val="center"/>
          </w:tcPr>
          <w:p w14:paraId="45385D2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75C60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1358" w:type="dxa"/>
            <w:noWrap w:val="0"/>
            <w:vAlign w:val="center"/>
          </w:tcPr>
          <w:p w14:paraId="0B85A6C8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第五道</w:t>
            </w:r>
          </w:p>
        </w:tc>
        <w:tc>
          <w:tcPr>
            <w:tcW w:w="3651" w:type="dxa"/>
            <w:noWrap w:val="0"/>
            <w:vAlign w:val="center"/>
          </w:tcPr>
          <w:p w14:paraId="01361514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高耸构筑物墙体彩绘罩面漆</w:t>
            </w:r>
          </w:p>
        </w:tc>
        <w:tc>
          <w:tcPr>
            <w:tcW w:w="1685" w:type="dxa"/>
            <w:noWrap w:val="0"/>
            <w:vAlign w:val="center"/>
          </w:tcPr>
          <w:p w14:paraId="0654E2AB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无厚度要求</w:t>
            </w:r>
          </w:p>
        </w:tc>
        <w:tc>
          <w:tcPr>
            <w:tcW w:w="2466" w:type="dxa"/>
            <w:noWrap w:val="0"/>
            <w:vAlign w:val="center"/>
          </w:tcPr>
          <w:p w14:paraId="2AD69E62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center"/>
              <w:outlineLvl w:val="1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</w:tbl>
    <w:p w14:paraId="2EAF88AE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安全防护用品：安全帽、双钩安全带、安全自锁器、速差自控器、防尘口罩、防护眼镜、绝缘手套、防滑鞋等，确保每人配备齐全且符合国家标准。</w:t>
      </w:r>
    </w:p>
    <w:p w14:paraId="1154EA4D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9" w:name="_Toc18033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（三）现场准备</w:t>
      </w:r>
      <w:bookmarkEnd w:id="9"/>
    </w:p>
    <w:p w14:paraId="43EF6B52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进行现场勘察，熟悉现场地形、塔体结构及周边环境，清理施工区域障碍物，设置硬质安全围栏及“严禁通行”警示牌，划分危险区域，禁止无关人员进入。</w:t>
      </w:r>
    </w:p>
    <w:p w14:paraId="3EACEE52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搭建临时办公区、材料库房（阴凉通风，存放油漆、稀释剂等易燃品，悬挂“禁止烟火”标识，配备足量消防器材），确保施工用水、用电接入规范。</w:t>
      </w:r>
    </w:p>
    <w:p w14:paraId="6DAA3540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对塔体施工区域进行前期勘察，记录塔筒混凝土基层状况，明确绘画图案、色号等，完成设计审查备案。</w:t>
      </w:r>
    </w:p>
    <w:p w14:paraId="2EBDCE89">
      <w:pPr>
        <w:widowControl/>
        <w:numPr>
          <w:ilvl w:val="0"/>
          <w:numId w:val="0"/>
        </w:numPr>
        <w:spacing w:line="240" w:lineRule="auto"/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10" w:name="_Toc24850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四、主要施工方案</w:t>
      </w:r>
      <w:bookmarkEnd w:id="10"/>
    </w:p>
    <w:p w14:paraId="4488DC62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11" w:name="_Toc24254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（一）</w:t>
      </w:r>
      <w:bookmarkEnd w:id="11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现场勘察</w:t>
      </w:r>
    </w:p>
    <w:p w14:paraId="091D421B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施工前记录塔筒混凝土基层状况。</w:t>
      </w:r>
    </w:p>
    <w:p w14:paraId="11C65581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明确绘画图案位置、施工工艺、施工方法等。</w:t>
      </w:r>
    </w:p>
    <w:p w14:paraId="65855045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12" w:name="_Toc26302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（二）基层处理</w:t>
      </w:r>
      <w:bookmarkEnd w:id="12"/>
    </w:p>
    <w:p w14:paraId="513A8BC0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对于大的裂缝、凹坑以及混凝土表面摸板缝(尺寸大于5mm)等缺陷，应使用抗裂水泥砂浆修补与填平。</w:t>
      </w:r>
    </w:p>
    <w:p w14:paraId="0FF81FF9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对于局部被油性物质污染的表面，按SSPC-SP1规范用碱液、洗涤剂或高压淡水冲洗至中性。</w:t>
      </w:r>
    </w:p>
    <w:p w14:paraId="42CCD1A2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打磨处理:应将所有“外小里大”的Q形孔洞处理成开放式，水能自动顺沿下流，不能有凹陷积水处;将错台、棱角等所有影响涂漆的缺陷用动力工具打磨处理。</w:t>
      </w:r>
    </w:p>
    <w:p w14:paraId="51C6F329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4. 清扫处理:用钢丝刷等工具或扫沙工艺去除混凝土表面的水泥浮浆、附着不牢的水泥及其它杂质等影响涂漆的缺陷。</w:t>
      </w:r>
    </w:p>
    <w:p w14:paraId="13FA93AC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5. 除尘处理:涂料施工之前，应清洁、吹灰，去除所有杂物、浮灰粉末及灰尘。清洁方法采用真空吸尘、吹灰或水洗等。</w:t>
      </w:r>
    </w:p>
    <w:p w14:paraId="0BC9F8C5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13" w:name="_Toc20131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（三）涂刷施工</w:t>
      </w:r>
      <w:bookmarkEnd w:id="13"/>
    </w:p>
    <w:p w14:paraId="40DE53D5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2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14" w:name="_Toc20088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涂刷流程</w:t>
      </w:r>
      <w:bookmarkEnd w:id="14"/>
    </w:p>
    <w:p w14:paraId="4565C6AC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9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基层处理→涂刷高耸构筑物墙体彩绘专用底漆→涂刷高耸构筑物墙体彩绘专用饰面漆1道→高耸构筑物墙体彩绘专用饰面漆彩绘→涂刷高耸构筑物墙体彩绘罩面漆→竣工验收</w:t>
      </w:r>
    </w:p>
    <w:p w14:paraId="4E5C276B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2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15" w:name="_Toc17117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涂刷方法</w:t>
      </w:r>
      <w:bookmarkEnd w:id="15"/>
    </w:p>
    <w:p w14:paraId="3E5797AD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3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16" w:name="_Toc31408"/>
      <w:bookmarkStart w:id="17" w:name="_Toc545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（1）</w:t>
      </w:r>
      <w:bookmarkEnd w:id="16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涂刷施工</w:t>
      </w:r>
    </w:p>
    <w:p w14:paraId="589896A0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1）涂刷时，必须上层干燥后涂刷下层油漆，层间应结合紧密、无分层现象。</w:t>
      </w:r>
    </w:p>
    <w:p w14:paraId="28CC18BE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3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（2）</w:t>
      </w:r>
      <w:bookmarkEnd w:id="17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喷涂施工</w:t>
      </w:r>
    </w:p>
    <w:p w14:paraId="7AA670EB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1） 喷涂时，无人机喷枪使喷束始终垂直于表面，并与被涂表面保持 30－50cm左右的均匀距离。</w:t>
      </w:r>
    </w:p>
    <w:p w14:paraId="33D4547B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2）每一喷道应在前一喷道上重叠 50%，少于 50%的重叠会使末道漆表面上出现条痕。扣下扳机后，匀速移动喷枪，因为涂料是匀速流动的，喷幅在 50%的重叠时，漆膜覆盖均匀。</w:t>
      </w:r>
    </w:p>
    <w:p w14:paraId="0C93C6D7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2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18" w:name="_Toc21829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各涂层施工要求</w:t>
      </w:r>
      <w:bookmarkEnd w:id="18"/>
    </w:p>
    <w:p w14:paraId="582BA066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  <w:t>（1）底漆施工：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底涂材料，控制材料的粘度、稠度、稀度，兑制时应充分的搅拌，使涂料色泽、粘度均匀一致；刷漆时应采用勤沾、短刷的原则，防止刷子带漆太多而流坠；底漆涂装后起码需4～8h后才能达到表干、表干前不应涂装面漆。</w:t>
      </w:r>
    </w:p>
    <w:p w14:paraId="261B9C58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  <w:t>面漆施工：面漆的调制应选择颜色完全一致的面漆，兑制的稀料应合适，面漆使用前应充分搅拌，保持色泽均匀。其工作粘度、稠度应保证涂装时不流坠，不显刷纹；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要求涂刷层外观整体颜色均匀一致，无流淌、无流挂、无漏刷、无漏涂等缺陷存在。</w:t>
      </w:r>
    </w:p>
    <w:p w14:paraId="11626481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（3）绘画施工：在电脑中模拟出墙面的大致色系，后按大致色系在墙面上进行喷涂；在电脑中按烟囱、冷却塔高度，按效果图模拟出彩绘内容，进行“经纬度 ”坐标标注并效果图小块分割；绘画按电脑模拟的小块颜色位置，并按电脑模拟分割小块精致绘画。</w:t>
      </w:r>
    </w:p>
    <w:p w14:paraId="0BFDF7EB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2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19" w:name="_Toc31967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4. 施工环境控制</w:t>
      </w:r>
      <w:bookmarkEnd w:id="19"/>
    </w:p>
    <w:p w14:paraId="6A47422A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（1）气温不低于 5℃ , 湿度小于 75%，雨天严禁施工。</w:t>
      </w:r>
    </w:p>
    <w:p w14:paraId="3A030454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（2）涂装过程中频繁用测厚仪检测漆膜厚度，确保每层厚度符合要求，允许偏差±5%。</w:t>
      </w:r>
    </w:p>
    <w:p w14:paraId="0F176257">
      <w:pPr>
        <w:widowControl/>
        <w:numPr>
          <w:ilvl w:val="0"/>
          <w:numId w:val="0"/>
        </w:numPr>
        <w:spacing w:line="240" w:lineRule="auto"/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20" w:name="_Toc16891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五、质量控制措施</w:t>
      </w:r>
      <w:bookmarkEnd w:id="20"/>
    </w:p>
    <w:p w14:paraId="2C068F14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建立全面质量管理体系，落实质量岗位责任制，项目经理对项目质量全面负责，各工序责任人对过程质量负责。</w:t>
      </w:r>
    </w:p>
    <w:p w14:paraId="4A0C1FF1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绘画前，按设计图施工，经业主及监理认可后再施工。</w:t>
      </w:r>
    </w:p>
    <w:p w14:paraId="104978AD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原材料进场严格检验，提供合格证、检验报告，二次复检合格后方可使用；涂料开桶后搅拌均匀，过滤杂质，调整粘度仅使用专用稀释剂。</w:t>
      </w:r>
    </w:p>
    <w:p w14:paraId="24FBDE0F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4. 每道工序施工完成后，由施工班组自检、技术人员复检，报监理及招标方验收，验收合格签署记录后，方可进行下道工序，严禁跳工序施工。</w:t>
      </w:r>
    </w:p>
    <w:p w14:paraId="4391702B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5. 涂层验收：涂刷应均匀，色泽一致，无皱皮、流坠和气泡，附着良好，分色线清楚、整齐。涂层结束后，应观察涂层是否均匀、不流挂、无裂纹、无剥落、无漏涂、无气泡、颜色一致。表面涂装施工时和施工后，应对涂装过的工件进行保护，防止飞扬尘土和其它杂物。涂装后的处理检查，应该是涂层颜色一致，色泽鲜明光亮，不起皱皮，不起疙瘩。每道工序完成后必须通过验收合格后，方可进行下道工序施工。</w:t>
      </w:r>
    </w:p>
    <w:p w14:paraId="54CBD013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6. 班组坚持“三检制 ”，自检合格后，指挥人员进行全面检查验收。</w:t>
      </w:r>
    </w:p>
    <w:p w14:paraId="6F4561C9">
      <w:pPr>
        <w:widowControl/>
        <w:numPr>
          <w:ilvl w:val="0"/>
          <w:numId w:val="0"/>
        </w:numPr>
        <w:spacing w:line="240" w:lineRule="auto"/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21" w:name="_Toc3950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六、安全管理措施</w:t>
      </w:r>
      <w:bookmarkEnd w:id="21"/>
    </w:p>
    <w:p w14:paraId="38BE468B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设立安全管理体系，配备专职安全员，建立完整安全管理制度。</w:t>
      </w:r>
    </w:p>
    <w:p w14:paraId="3F43D740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安全施工明确责任人，负责区域内安全设施管理维护，制止违章作业。</w:t>
      </w:r>
    </w:p>
    <w:p w14:paraId="46E904BC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高空作业严格遵守JGJ80规范：作业人员系双钩安全带，使用安全自锁器，作业下方设置双层安全平网，立体交叉作业采取严密隔离措施；遇六级及以上大风或恶劣天气，停止露天高空作业。</w:t>
      </w:r>
    </w:p>
    <w:p w14:paraId="0FE0F246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4. 电气作业由专业电工操作，每日检查电气工器具及电源线绝缘情况，施工完毕切断所有电源；角向磨光机作业人员戴防尘口罩、防护眼镜，更换或检修时切断电源。</w:t>
      </w:r>
    </w:p>
    <w:p w14:paraId="0B2EFAEB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5. 动火作业严格执行动火票制度，现场配备足量消防器材、消防水带，设专人监护，动火结束后清理遗留火种；油漆、稀释剂等易燃品存放符合规定，施工区域10m内禁止明火作业。</w:t>
      </w:r>
    </w:p>
    <w:p w14:paraId="03D20767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6. 每日开工前进行早班会、危险点告知，检查施工人员精神状态、安全工器具及现场安全措施，不合格者不得开工；施工过程中工作负责人全程监护，发现违章立即停工整改。</w:t>
      </w:r>
    </w:p>
    <w:p w14:paraId="72D533EF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7. 施工人员统一着装，遵守招标方厂纪厂规，严禁吸烟。</w:t>
      </w:r>
    </w:p>
    <w:p w14:paraId="40178AE7">
      <w:pPr>
        <w:widowControl/>
        <w:numPr>
          <w:ilvl w:val="0"/>
          <w:numId w:val="0"/>
        </w:numPr>
        <w:spacing w:line="240" w:lineRule="auto"/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22" w:name="_Toc8641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七、应急预案</w:t>
      </w:r>
      <w:bookmarkEnd w:id="22"/>
    </w:p>
    <w:p w14:paraId="268D5C4C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23" w:name="_Toc8303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（一）应急组织机构</w:t>
      </w:r>
      <w:bookmarkEnd w:id="23"/>
    </w:p>
    <w:p w14:paraId="4715FC5C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成立应急领导小组，由项目负责人任组长，安全员、技术负责人任副组长，施工班组骨干为成员，明确分工：组长负责应急指挥，副组长负责现场协调、技术支持，成员负责现场救援、物资调配、信息上报。</w:t>
      </w:r>
    </w:p>
    <w:p w14:paraId="111BF4BC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24" w:name="_Toc21088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（二）应急准备</w:t>
      </w:r>
      <w:bookmarkEnd w:id="24"/>
    </w:p>
    <w:p w14:paraId="42466233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配备应急物资：急救箱（含绷带、止血药、消毒用品等）、担架、安全绳、灭火器、灭火毯、应急照明、对讲机等，存放于易取用位置，定期检查补充。</w:t>
      </w:r>
    </w:p>
    <w:p w14:paraId="01231F73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组织应急演练：开工前组织高空坠落、火灾、触电、中毒等事故应急演练，确保施工人员熟悉应急流程及救援方法。</w:t>
      </w:r>
    </w:p>
    <w:p w14:paraId="285EF57E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明确应急联络方式：留存招标方、医院、消防、交警等应急电话，确保事故发生时及时联络。</w:t>
      </w:r>
    </w:p>
    <w:p w14:paraId="048D3787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25" w:name="_Toc1486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（三）常见事故应急处置</w:t>
      </w:r>
      <w:bookmarkEnd w:id="25"/>
    </w:p>
    <w:p w14:paraId="23E6EEF2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2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26" w:name="_Toc22070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高空坠落事故</w:t>
      </w:r>
      <w:bookmarkEnd w:id="26"/>
    </w:p>
    <w:p w14:paraId="15C4B6B3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（1）立即停止作业，启动应急救援，救援人员系好安全带，使用担架、安全绳进入现场，避免二次伤害。</w:t>
      </w:r>
    </w:p>
    <w:p w14:paraId="6B1BCC69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（2）对伤者进行初步检查，若为轻伤，进行止血、包扎等简单处理；若为重伤，保持伤者平躺，避免移动，立即拨打120急救电话，同时上报招标方及应急领导小组。</w:t>
      </w:r>
    </w:p>
    <w:p w14:paraId="27D73D20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（3）保护事故现场，排查坠落原因（如安全带失效、吊篮故障等），整改合格后方可复工。</w:t>
      </w:r>
    </w:p>
    <w:p w14:paraId="345DCE36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2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27" w:name="_Toc4499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火灾事故</w:t>
      </w:r>
      <w:bookmarkEnd w:id="27"/>
    </w:p>
    <w:p w14:paraId="3D21FB7B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（1）立即切断电源，停止动火作业，现场人员使用灭火器、灭火毯扑救初期火灾，严禁用水扑救油漆、稀释剂等易燃品火灾。</w:t>
      </w:r>
    </w:p>
    <w:p w14:paraId="53EB17F6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（2）若火势扩大，立即拨打119报警电话，组织人员疏散至安全区域，上报招标方及应急领导小组。</w:t>
      </w:r>
    </w:p>
    <w:p w14:paraId="798291DF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（3）火灾扑灭后，清理现场，排查火灾原因（如违章动火、易燃品存放不当等），落实整改措施。</w:t>
      </w:r>
    </w:p>
    <w:p w14:paraId="26997549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2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</w:t>
      </w:r>
      <w:bookmarkStart w:id="28" w:name="_Toc21420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触电事故</w:t>
      </w:r>
      <w:bookmarkEnd w:id="28"/>
    </w:p>
    <w:p w14:paraId="3494C90B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（1）立即切断电源或使用绝缘工具使伤者脱离电源，严禁直接接触触电者。</w:t>
      </w:r>
    </w:p>
    <w:p w14:paraId="075FDC63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（2）检查伤者意识、呼吸，若心跳呼吸停止，立即进行心肺复苏，同时拨打120急救电话，上报相关单位。</w:t>
      </w:r>
    </w:p>
    <w:p w14:paraId="17A765EF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（3）排查触电原因（如电源线破损、未装漏电保护器等），整改后复工。</w:t>
      </w:r>
    </w:p>
    <w:p w14:paraId="0E20E07E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2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29" w:name="_Toc774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4. 中毒事故</w:t>
      </w:r>
      <w:bookmarkEnd w:id="29"/>
    </w:p>
    <w:p w14:paraId="6339A927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（1）若施工人员接触涂料、稀释剂后出现头晕、恶心等中毒症状，立即将其转移至通风良好区域，解开衣领，保持呼吸通畅。</w:t>
      </w:r>
    </w:p>
    <w:p w14:paraId="0ED060A3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（2）若为皮肤接触，用清水冲洗；若为吸入中毒，给予吸氧，严重者立即拨打120急救电话。</w:t>
      </w:r>
    </w:p>
    <w:p w14:paraId="775C7958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（3）排查中毒原因（如通风不良、未佩戴防护用品等），加强通风及防护措施后复工。</w:t>
      </w:r>
    </w:p>
    <w:p w14:paraId="3FD782B5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2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30" w:name="_Toc23932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5. 吊篮故障事故</w:t>
      </w:r>
      <w:bookmarkEnd w:id="30"/>
    </w:p>
    <w:p w14:paraId="5232DEF0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（1）若吊篮出现卡绳、堵绳、提升机故障等情况，立即停止作业，作业人员保持冷静，使用急停按钮切断电源，通过安全绳缓慢撤离至安全区域，或等待救援。</w:t>
      </w:r>
    </w:p>
    <w:p w14:paraId="41362FBA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（2）救援人员使用备用设备进行救援，严禁盲目攀爬或冒险操作。</w:t>
      </w:r>
    </w:p>
    <w:p w14:paraId="18ECD620">
      <w:pPr>
        <w:widowControl/>
        <w:numPr>
          <w:ilvl w:val="0"/>
          <w:numId w:val="0"/>
        </w:numPr>
        <w:spacing w:line="240" w:lineRule="auto"/>
        <w:ind w:left="0" w:leftChars="0" w:firstLine="280" w:firstLineChars="1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（3）故障排除后，对吊篮进行全面检查、检测，合格后方可重新使用。</w:t>
      </w:r>
    </w:p>
    <w:p w14:paraId="5120117E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1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31" w:name="_Toc30777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（四）应急报告与后期处理</w:t>
      </w:r>
      <w:bookmarkEnd w:id="31"/>
    </w:p>
    <w:p w14:paraId="39C44A21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事故发生后，立即向招标方、应急领导小组报告，说明事故类型、地点、伤亡情况及处置进展，不得迟报、瞒报。</w:t>
      </w:r>
    </w:p>
    <w:p w14:paraId="13D53375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配合招标方及相关部门进行事故调查分析，明确责任，制定防范措施，避免同类事故再次发生。</w:t>
      </w:r>
    </w:p>
    <w:p w14:paraId="0B8451A7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做好伤者医疗救治、家属安抚及经济赔偿工作，按规定整理事故报告及相关资料归档。</w:t>
      </w:r>
    </w:p>
    <w:p w14:paraId="34163275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 w14:paraId="0BDE93C8">
      <w:pPr>
        <w:widowControl/>
        <w:numPr>
          <w:ilvl w:val="0"/>
          <w:numId w:val="0"/>
        </w:numPr>
        <w:spacing w:line="240" w:lineRule="auto"/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32" w:name="_Toc16018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八、施工进度计划</w:t>
      </w:r>
      <w:bookmarkEnd w:id="32"/>
    </w:p>
    <w:p w14:paraId="0A73C30A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施工准备阶段（第1-10天）：完成人员培训、设备材料进场、现场清理、设计审查备案、吊篮安装及试验。</w:t>
      </w:r>
    </w:p>
    <w:p w14:paraId="53489E49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基层处理阶段（第11-70天）：完成4座冷却塔及2座烟囱施工区域基层清理、缺陷修补及验收。</w:t>
      </w:r>
    </w:p>
    <w:p w14:paraId="3D9FC4EC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涂刷、绘画施工阶段（第71-100天）：按底漆→面漆→绘画顺序施工，完成绘画，每道工序验收同步进行。</w:t>
      </w:r>
    </w:p>
    <w:p w14:paraId="242A1A0A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4. 验收整改阶段（第101-110天）：全面自检，整改不合格项，报监理及招标方竣工验收。</w:t>
      </w:r>
    </w:p>
    <w:p w14:paraId="54E9A927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5. 竣工移交阶段（第111-120天）：整理竣工资料（纸质原件一份、电子版一份），办理移交手续。</w:t>
      </w:r>
    </w:p>
    <w:p w14:paraId="31112805">
      <w:pPr>
        <w:widowControl/>
        <w:numPr>
          <w:ilvl w:val="0"/>
          <w:numId w:val="0"/>
        </w:numPr>
        <w:spacing w:line="240" w:lineRule="auto"/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33" w:name="_Toc10506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九、文明施工与环保措施</w:t>
      </w:r>
      <w:bookmarkEnd w:id="33"/>
    </w:p>
    <w:p w14:paraId="30552286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现场作业要做到无积存垃圾，无散落材料，无车辆乱停。</w:t>
      </w:r>
    </w:p>
    <w:p w14:paraId="72E32949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每日作业后清理现场杂物、垃圾，施工废弃物（工业垃圾、废料等）由投标方负责外运至指定地点处理，严禁掩埋有毒有害废弃物。</w:t>
      </w:r>
    </w:p>
    <w:p w14:paraId="117A6B9A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设备定期维护，避免因故障产生异常噪音。</w:t>
      </w:r>
    </w:p>
    <w:p w14:paraId="0C14CC82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4. 施工过程中避免涂料滴漏污染塔体及周边环境，油漆桶固定牢固，防止倾倒；施工废水经处理后排放，不得污染地下水。</w:t>
      </w:r>
    </w:p>
    <w:p w14:paraId="3BD0D150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5. 保持施工区域清洁卫生，接受招标方及相关部门环保监督。</w:t>
      </w:r>
    </w:p>
    <w:p w14:paraId="1F3A52FC">
      <w:pPr>
        <w:widowControl/>
        <w:numPr>
          <w:ilvl w:val="0"/>
          <w:numId w:val="0"/>
        </w:numPr>
        <w:spacing w:line="240" w:lineRule="auto"/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34" w:name="_Toc28037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十、竣工资料移交</w:t>
      </w:r>
      <w:bookmarkEnd w:id="34"/>
    </w:p>
    <w:p w14:paraId="6FD7642F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工程结束后，向招标方交付完整竣工资料，包括：施工方案、原材料合格证及检验报告、施工记录（基层处理、涂刷施工、吊篮试验等）、检测报告、现场检测图片等。</w:t>
      </w:r>
    </w:p>
    <w:p w14:paraId="2F4661FD">
      <w:pPr>
        <w:widowControl/>
        <w:numPr>
          <w:ilvl w:val="0"/>
          <w:numId w:val="0"/>
        </w:numPr>
        <w:spacing w:line="240" w:lineRule="auto"/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35" w:name="_Toc7963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十一、保障措施</w:t>
      </w:r>
      <w:bookmarkEnd w:id="35"/>
    </w:p>
    <w:p w14:paraId="0ECE94BD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1. 组织保障：将本项目列为重点工程，配备充足施工人员、设备，加强现场调度管理，统一指挥协调，确保工期进度。</w:t>
      </w:r>
    </w:p>
    <w:p w14:paraId="27531A86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2. 技术保障：技术人员全程跟踪施工，及时解决技术难题，严格执行技术规范及质量标准，确保工程质量。</w:t>
      </w:r>
    </w:p>
    <w:p w14:paraId="2FF23C63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 安全保障：落实安全生产责任制，加强安全巡查及隐患排查，杜绝安全事故导致工期延误。</w:t>
      </w:r>
    </w:p>
    <w:p w14:paraId="426B13F9">
      <w:pPr>
        <w:widowControl/>
        <w:numPr>
          <w:ilvl w:val="0"/>
          <w:numId w:val="0"/>
        </w:numPr>
        <w:spacing w:line="240" w:lineRule="auto"/>
        <w:ind w:left="0" w:leftChars="0" w:firstLine="560" w:firstLineChars="200"/>
        <w:jc w:val="both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4. 工期保障：制定详细进度计划，明确各阶段节点目标，若遇特殊情况调整工期，提前论证评估安全影响，落实保障措施；施工工期每延误一天，按约定承担相应考核。</w:t>
      </w:r>
    </w:p>
    <w:p w14:paraId="159CB2E9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 w14:paraId="7C4894B3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 w14:paraId="7035C228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 w14:paraId="0B24CE2C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 w14:paraId="4B83DDEA">
      <w:pPr>
        <w:widowControl/>
        <w:numPr>
          <w:ilvl w:val="0"/>
          <w:numId w:val="0"/>
        </w:numPr>
        <w:spacing w:line="240" w:lineRule="auto"/>
        <w:ind w:left="0" w:leftChars="0" w:firstLine="0" w:firstLineChars="0"/>
        <w:jc w:val="both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 w14:paraId="60171C55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firstLine="480" w:firstLineChars="200"/>
        <w:jc w:val="both"/>
        <w:outlineLvl w:val="9"/>
        <w:rPr>
          <w:rStyle w:val="16"/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 w14:paraId="292E472D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firstLine="480" w:firstLineChars="200"/>
        <w:jc w:val="both"/>
        <w:outlineLvl w:val="9"/>
        <w:rPr>
          <w:rStyle w:val="16"/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 w14:paraId="3FD56A61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firstLine="480" w:firstLineChars="200"/>
        <w:jc w:val="both"/>
        <w:outlineLvl w:val="9"/>
        <w:rPr>
          <w:rStyle w:val="16"/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 w14:paraId="2C1BB7C5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firstLine="480" w:firstLineChars="200"/>
        <w:jc w:val="both"/>
        <w:outlineLvl w:val="9"/>
        <w:rPr>
          <w:rStyle w:val="16"/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 w14:paraId="1923C17A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firstLine="480" w:firstLineChars="200"/>
        <w:jc w:val="both"/>
        <w:outlineLvl w:val="9"/>
        <w:rPr>
          <w:rStyle w:val="16"/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 w14:paraId="466F6C74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firstLine="480" w:firstLineChars="200"/>
        <w:jc w:val="both"/>
        <w:outlineLvl w:val="9"/>
        <w:rPr>
          <w:rStyle w:val="16"/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sectPr>
          <w:pgSz w:w="11906" w:h="16838"/>
          <w:pgMar w:top="1732" w:right="1800" w:bottom="1440" w:left="1800" w:header="227" w:footer="454" w:gutter="0"/>
          <w:pgNumType w:fmt="decimal"/>
          <w:cols w:space="425" w:num="1"/>
          <w:titlePg/>
          <w:docGrid w:type="lines" w:linePitch="312" w:charSpace="0"/>
        </w:sectPr>
      </w:pPr>
    </w:p>
    <w:p w14:paraId="0435561A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firstLine="480" w:firstLineChars="200"/>
        <w:jc w:val="both"/>
        <w:outlineLvl w:val="9"/>
        <w:rPr>
          <w:rStyle w:val="16"/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Style w:val="16"/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附：施工人员必须具有高空作业资格证</w:t>
      </w:r>
    </w:p>
    <w:p w14:paraId="23733544">
      <w:pPr>
        <w:bidi w:val="0"/>
        <w:jc w:val="center"/>
        <w:sectPr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937250" cy="7418070"/>
            <wp:effectExtent l="0" t="0" r="6350" b="3810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B7B6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88" w:lineRule="auto"/>
        <w:ind w:firstLine="420" w:firstLineChars="200"/>
        <w:jc w:val="left"/>
        <w:outlineLvl w:val="9"/>
      </w:pPr>
      <w:r>
        <w:drawing>
          <wp:inline distT="0" distB="0" distL="114300" distR="114300">
            <wp:extent cx="5527040" cy="5189855"/>
            <wp:effectExtent l="0" t="0" r="5080" b="698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5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8D813">
      <w:pPr>
        <w:pStyle w:val="2"/>
      </w:pPr>
    </w:p>
    <w:p w14:paraId="7AEE7A7A">
      <w:pPr>
        <w:rPr>
          <w:rFonts w:hint="eastAsia"/>
          <w:lang w:val="en-US" w:eastAsia="zh-CN"/>
        </w:rPr>
      </w:pPr>
    </w:p>
    <w:sectPr>
      <w:pgSz w:w="11906" w:h="16838"/>
      <w:pgMar w:top="1440" w:right="1803" w:bottom="1440" w:left="1803" w:header="227" w:footer="454" w:gutter="0"/>
      <w:pgNumType w:fmt="decimal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decorative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08D29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93AC65"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D93AC65"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3516F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C57FCF"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C57FCF"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7D03A8"/>
    <w:rsid w:val="00732078"/>
    <w:rsid w:val="03A70453"/>
    <w:rsid w:val="0436754B"/>
    <w:rsid w:val="06790A01"/>
    <w:rsid w:val="06C47189"/>
    <w:rsid w:val="07E07FF3"/>
    <w:rsid w:val="09817F9E"/>
    <w:rsid w:val="09CB4CD3"/>
    <w:rsid w:val="0A03621B"/>
    <w:rsid w:val="0A40121D"/>
    <w:rsid w:val="0A8C7FBE"/>
    <w:rsid w:val="0AD33E3F"/>
    <w:rsid w:val="0B1E1C49"/>
    <w:rsid w:val="0B293A5F"/>
    <w:rsid w:val="0B484AD0"/>
    <w:rsid w:val="0C4D5E73"/>
    <w:rsid w:val="0C574359"/>
    <w:rsid w:val="0D054058"/>
    <w:rsid w:val="0D162709"/>
    <w:rsid w:val="0D3D1A44"/>
    <w:rsid w:val="0D935B07"/>
    <w:rsid w:val="0E1924B1"/>
    <w:rsid w:val="0FB94F51"/>
    <w:rsid w:val="0FF46D31"/>
    <w:rsid w:val="10785533"/>
    <w:rsid w:val="10986D83"/>
    <w:rsid w:val="12F232D0"/>
    <w:rsid w:val="131C6F65"/>
    <w:rsid w:val="13B660AC"/>
    <w:rsid w:val="145C4EA5"/>
    <w:rsid w:val="153B1F58"/>
    <w:rsid w:val="16FB5EE0"/>
    <w:rsid w:val="184E78D6"/>
    <w:rsid w:val="1A7B4E00"/>
    <w:rsid w:val="1B5C3BB6"/>
    <w:rsid w:val="1B6B6A0B"/>
    <w:rsid w:val="1B7927E1"/>
    <w:rsid w:val="1C485A61"/>
    <w:rsid w:val="1DEA3522"/>
    <w:rsid w:val="1ED8781E"/>
    <w:rsid w:val="212D50A4"/>
    <w:rsid w:val="21B83630"/>
    <w:rsid w:val="21D56297"/>
    <w:rsid w:val="23D26F32"/>
    <w:rsid w:val="247B3126"/>
    <w:rsid w:val="24FE5B05"/>
    <w:rsid w:val="251A293E"/>
    <w:rsid w:val="26823530"/>
    <w:rsid w:val="279F6E91"/>
    <w:rsid w:val="282B3136"/>
    <w:rsid w:val="29752839"/>
    <w:rsid w:val="2A3E71CC"/>
    <w:rsid w:val="2B8A0E23"/>
    <w:rsid w:val="2BC2163A"/>
    <w:rsid w:val="2BE83F94"/>
    <w:rsid w:val="2CD77367"/>
    <w:rsid w:val="2D0B7011"/>
    <w:rsid w:val="2D594220"/>
    <w:rsid w:val="3091782D"/>
    <w:rsid w:val="3092758F"/>
    <w:rsid w:val="30DD2A72"/>
    <w:rsid w:val="32655415"/>
    <w:rsid w:val="339C4E66"/>
    <w:rsid w:val="33DD71D4"/>
    <w:rsid w:val="345319C9"/>
    <w:rsid w:val="36127662"/>
    <w:rsid w:val="37D90A32"/>
    <w:rsid w:val="389E6F8B"/>
    <w:rsid w:val="39E032BD"/>
    <w:rsid w:val="3DDB07E7"/>
    <w:rsid w:val="40363F4D"/>
    <w:rsid w:val="427D03A8"/>
    <w:rsid w:val="4289600D"/>
    <w:rsid w:val="42BD4C9D"/>
    <w:rsid w:val="448E25A9"/>
    <w:rsid w:val="45833790"/>
    <w:rsid w:val="4685178A"/>
    <w:rsid w:val="47215957"/>
    <w:rsid w:val="47FB1D04"/>
    <w:rsid w:val="47FC782A"/>
    <w:rsid w:val="488971F2"/>
    <w:rsid w:val="48A71E8C"/>
    <w:rsid w:val="48C742DC"/>
    <w:rsid w:val="49777AB0"/>
    <w:rsid w:val="4A9B5A20"/>
    <w:rsid w:val="4B321EE0"/>
    <w:rsid w:val="4C7F36E0"/>
    <w:rsid w:val="4E2D698F"/>
    <w:rsid w:val="4E6C395B"/>
    <w:rsid w:val="51516E38"/>
    <w:rsid w:val="51890380"/>
    <w:rsid w:val="51FE0D6E"/>
    <w:rsid w:val="522E2CD6"/>
    <w:rsid w:val="53990623"/>
    <w:rsid w:val="546E385E"/>
    <w:rsid w:val="54AB6860"/>
    <w:rsid w:val="57917C49"/>
    <w:rsid w:val="581A77A1"/>
    <w:rsid w:val="59594ADC"/>
    <w:rsid w:val="598E3A04"/>
    <w:rsid w:val="59C503C4"/>
    <w:rsid w:val="59CF2FF0"/>
    <w:rsid w:val="59F760A3"/>
    <w:rsid w:val="5A117165"/>
    <w:rsid w:val="5A305967"/>
    <w:rsid w:val="5ADE798F"/>
    <w:rsid w:val="5D5E0913"/>
    <w:rsid w:val="5F685B6F"/>
    <w:rsid w:val="611A0FF5"/>
    <w:rsid w:val="62401E99"/>
    <w:rsid w:val="62FB05C2"/>
    <w:rsid w:val="63021D41"/>
    <w:rsid w:val="65A2780B"/>
    <w:rsid w:val="675039C2"/>
    <w:rsid w:val="69500905"/>
    <w:rsid w:val="69F745C9"/>
    <w:rsid w:val="6AC075BB"/>
    <w:rsid w:val="6BD10E4A"/>
    <w:rsid w:val="6D350CC7"/>
    <w:rsid w:val="6EDF387E"/>
    <w:rsid w:val="6EE80984"/>
    <w:rsid w:val="6F0230C8"/>
    <w:rsid w:val="6F3F60CB"/>
    <w:rsid w:val="6FE95CEE"/>
    <w:rsid w:val="71950224"/>
    <w:rsid w:val="722F0678"/>
    <w:rsid w:val="743E6B41"/>
    <w:rsid w:val="7524023C"/>
    <w:rsid w:val="75587EE6"/>
    <w:rsid w:val="758E3908"/>
    <w:rsid w:val="75B90985"/>
    <w:rsid w:val="75CB690A"/>
    <w:rsid w:val="76C5258F"/>
    <w:rsid w:val="76D8308D"/>
    <w:rsid w:val="787119EB"/>
    <w:rsid w:val="78A4490A"/>
    <w:rsid w:val="7A110FC9"/>
    <w:rsid w:val="7ABE07EB"/>
    <w:rsid w:val="7AEF309B"/>
    <w:rsid w:val="7B474C85"/>
    <w:rsid w:val="7C8D2B6B"/>
    <w:rsid w:val="7E53749D"/>
    <w:rsid w:val="7ECE167A"/>
    <w:rsid w:val="7F1B26B0"/>
    <w:rsid w:val="7F1C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semiHidden/>
    <w:qFormat/>
    <w:uiPriority w:val="0"/>
    <w:pPr>
      <w:spacing w:before="120"/>
    </w:pPr>
    <w:rPr>
      <w:rFonts w:ascii="Arial" w:hAnsi="Arial" w:cs="Arial"/>
      <w:kern w:val="0"/>
      <w:position w:val="-6"/>
      <w:sz w:val="24"/>
      <w:szCs w:val="20"/>
    </w:rPr>
  </w:style>
  <w:style w:type="paragraph" w:styleId="4">
    <w:name w:val="Body Text"/>
    <w:basedOn w:val="1"/>
    <w:next w:val="5"/>
    <w:qFormat/>
    <w:uiPriority w:val="0"/>
    <w:pPr>
      <w:spacing w:line="360" w:lineRule="auto"/>
    </w:pPr>
    <w:rPr>
      <w:sz w:val="24"/>
    </w:rPr>
  </w:style>
  <w:style w:type="paragraph" w:styleId="5">
    <w:name w:val="Body Text 2"/>
    <w:basedOn w:val="1"/>
    <w:qFormat/>
    <w:uiPriority w:val="0"/>
    <w:pPr>
      <w:spacing w:after="120" w:line="480" w:lineRule="auto"/>
    </w:pPr>
    <w:rPr>
      <w:rFonts w:ascii="Times New Roman" w:hAnsi="Times New Roman"/>
      <w:szCs w:val="24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ody Text Indent 2"/>
    <w:basedOn w:val="1"/>
    <w:qFormat/>
    <w:uiPriority w:val="0"/>
    <w:pPr>
      <w:tabs>
        <w:tab w:val="left" w:pos="630"/>
      </w:tabs>
      <w:spacing w:line="336" w:lineRule="auto"/>
      <w:ind w:left="195" w:leftChars="93" w:firstLine="475" w:firstLineChars="198"/>
    </w:pPr>
    <w:rPr>
      <w:sz w:val="24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Body Text First Indent"/>
    <w:basedOn w:val="4"/>
    <w:next w:val="1"/>
    <w:qFormat/>
    <w:uiPriority w:val="0"/>
    <w:pPr>
      <w:spacing w:after="120" w:line="240" w:lineRule="auto"/>
      <w:ind w:firstLine="420" w:firstLineChars="100"/>
    </w:pPr>
    <w:rPr>
      <w:sz w:val="21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7">
    <w:name w:val="普通文字"/>
    <w:basedOn w:val="1"/>
    <w:qFormat/>
    <w:uiPriority w:val="0"/>
    <w:pPr>
      <w:widowControl/>
      <w:tabs>
        <w:tab w:val="left" w:pos="360"/>
      </w:tabs>
      <w:adjustRightInd/>
      <w:spacing w:after="200"/>
      <w:ind w:firstLine="480"/>
      <w:textAlignment w:val="auto"/>
    </w:pPr>
    <w:rPr>
      <w:rFonts w:ascii="宋体" w:hAnsi="Courier New"/>
      <w:color w:val="000000"/>
      <w:sz w:val="2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5539</Words>
  <Characters>5945</Characters>
  <Lines>0</Lines>
  <Paragraphs>0</Paragraphs>
  <TotalTime>12</TotalTime>
  <ScaleCrop>false</ScaleCrop>
  <LinksUpToDate>false</LinksUpToDate>
  <CharactersWithSpaces>6142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2025-08-29T06:09:47Z</dcterms:created>
  <dc:creator>宏亚高空</dc:creator>
  <cp:lastModifiedBy>宏亚高空</cp:lastModifiedBy>
  <dcterms:modified xsi:type="dcterms:W3CDTF">2025-09-13T07:06:24Z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77990B5271C2479E8250CBA6FE3D8D13_13</vt:lpwstr>
  </property>
  <property fmtid="{D5CDD505-2E9C-101B-9397-08002B2CF9AE}" pid="4" name="KSOTemplateDocerSaveRecord">
    <vt:lpwstr>eyJoZGlkIjoiNDMxYmI2ZGQ3ZjIzYTBjOTE5YzZkZTRmNjgxOTI5ZDciLCJ1c2VySWQiOiIyMzYyNDIxOTIifQ==</vt:lpwstr>
  </property>
</Properties>
</file>