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sz w:val="44"/>
          <w:szCs w:val="44"/>
        </w:rPr>
      </w:pPr>
      <w:bookmarkStart w:id="0" w:name="_Toc263254630"/>
      <w:bookmarkStart w:id="1" w:name="_Toc286215273"/>
      <w:bookmarkStart w:id="2" w:name="_Toc311547421"/>
      <w:bookmarkStart w:id="3" w:name="_Toc322418534"/>
      <w:bookmarkStart w:id="4" w:name="_Toc353625119"/>
      <w:r>
        <w:rPr>
          <w:rFonts w:hint="eastAsia" w:asciiTheme="minorEastAsia" w:hAnsiTheme="minorEastAsia" w:eastAsiaTheme="minorEastAsia" w:cstheme="minorEastAsia"/>
          <w:sz w:val="44"/>
          <w:szCs w:val="44"/>
        </w:rPr>
        <w:t>玻璃钢排烟囱技术</w:t>
      </w:r>
      <w:bookmarkEnd w:id="0"/>
      <w:bookmarkEnd w:id="1"/>
      <w:bookmarkEnd w:id="2"/>
      <w:bookmarkEnd w:id="3"/>
      <w:bookmarkEnd w:id="4"/>
      <w:r>
        <w:rPr>
          <w:rFonts w:hint="eastAsia" w:asciiTheme="minorEastAsia" w:hAnsiTheme="minorEastAsia" w:eastAsiaTheme="minorEastAsia" w:cstheme="minorEastAsia"/>
          <w:sz w:val="44"/>
          <w:szCs w:val="44"/>
        </w:rPr>
        <w:t>方案</w:t>
      </w:r>
    </w:p>
    <w:p>
      <w:pPr>
        <w:spacing w:line="360" w:lineRule="auto"/>
        <w:jc w:val="center"/>
        <w:rPr>
          <w:rFonts w:hint="eastAsia" w:asciiTheme="minorEastAsia" w:hAnsiTheme="minorEastAsia" w:eastAsiaTheme="minorEastAsia" w:cstheme="minorEastAsia"/>
          <w:sz w:val="44"/>
          <w:szCs w:val="44"/>
        </w:rPr>
      </w:pPr>
    </w:p>
    <w:p>
      <w:pPr>
        <w:spacing w:line="360" w:lineRule="auto"/>
        <w:ind w:firstLine="482" w:firstLineChars="200"/>
        <w:rPr>
          <w:rFonts w:hint="eastAsia" w:asciiTheme="minorEastAsia" w:hAnsiTheme="minorEastAsia" w:eastAsiaTheme="minorEastAsia" w:cstheme="minorEastAsia"/>
          <w:b/>
          <w:bCs/>
          <w:sz w:val="24"/>
          <w:szCs w:val="24"/>
        </w:rPr>
      </w:pPr>
      <w:bookmarkStart w:id="5" w:name="_Toc353625122"/>
      <w:bookmarkStart w:id="6" w:name="_Toc320802443"/>
      <w:bookmarkStart w:id="7" w:name="_Toc320802813"/>
      <w:bookmarkStart w:id="8" w:name="_Toc322418548"/>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rPr>
        <w:t>FRP排烟内筒工艺流程与设计基本条件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1.FRP排烟内筒工艺流程</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脱硫方式采用石灰石-石膏湿法脱硫工艺，综合脱硫效率不低于98.7%，不设GGH，不设旁路。</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净烟气由脱硫吸收塔出口，经非金属膨胀节与脱硫钢排烟道连接，经排烟道直接引向FRP排烟内筒向上排放。</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本期工程脱硫后的净烟气通过FRP排烟内筒排放。脱硫系统无GGH，不设烟气旁路。</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脱硫后的净烟气直接通过FRP排烟内筒排入大气，正常运行条件下脱硫后烟气温度50℃左右，烟气最高运行温度80℃。</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事故条件下烟气最高温度120℃，短时间内(不超过2小时)要求保证FRP排烟内筒正常运行，且性能不发生变化。</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2.FRP排烟内筒设计基本条件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排烟筒设计工作温度：-20℃～90℃。</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基本风压：0.45kN/m2(50年一遇)</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设计地震烈度：8度，设计基本地震加速度值为0.2g</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场地土类别：Ⅱ类</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特征周期:0.35s</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排烟筒高度：水平烟道烟气进口处中心标高</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，排烟筒底部平台标高</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，排烟筒排烟口标高</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排烟筒内径：</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排烟筒内施工载荷：5kN/m2</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FRP排烟内筒应能够在以上工况条件下安全、长期、稳定运行，并确保免维护使用寿命30年以上要求。</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FRP排烟内筒的膨胀伸缩节在设计工况条件下能够长期安全可靠地运行，免维护使用寿命不应少于30年。应在FRP排烟内筒体系的设计阶段向提供所要采用的膨胀伸缩节材料种类及性能试验资料，供审核确认和批准。</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3.烟囱设计方案</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本工程烟囱结构形式为单套筒式，排烟内筒体系为分段自立或悬吊在支承平台上。</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套筒式烟囱由烟囱筒身和烟囱基础组成；烟囱筒身又由钢筋混凝土外筒壁、各层平台、内部交通设施（仅到烟气检测平台）和排烟内筒体系构成。</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FRP排烟内筒体系中必须考虑烟气冷凝结露液的排放及处理, 内筒上留设排放口。按照已有工程的烟囱设计经验，烟气冷凝结露液的排放孔应设置在内烟道与外接烟道连接膨胀伸缩节处靠内烟道侧的底部。排放孔2个，孔内径200mm，排放孔处向下设排酸管，排酸管内径200mm，设法兰接口与脱硫厂家相接，最终将酸液排至指定酸液收集池位置，定位及接口位置详见招标附图，室外部分应采取保温措施。内烟道底面排放孔位置处还应设置100mm高的档板，以防止排烟内筒体系中的烟气冷凝结露液通过内烟道流淌到内外烟道连接处的膨胀伸缩节中。</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设计过程中，可根据FRP排烟内筒体系设计计算的需要，在征得的同意确认后，优化FRP排烟内筒体系的支承点(或悬吊点)标高、支承体系和各层止晃装置的设计方案及节点构造；排烟内筒体系各段间连接的膨胀伸缩节数量(2个)不变。另外，还应在设计中考虑FRP排烟内筒体系自身的防雷避雷设施及接地系统。</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应采用符合内外筒实际受力情况的结构模型进行分析计算，以合理考虑内外筒之间的相互作用。</w:t>
      </w:r>
    </w:p>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表FRP排烟内筒主要规格数据</w:t>
      </w:r>
    </w:p>
    <w:tbl>
      <w:tblPr>
        <w:tblStyle w:val="15"/>
        <w:tblW w:w="8075"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3"/>
        <w:gridCol w:w="4410"/>
        <w:gridCol w:w="1365"/>
        <w:gridCol w:w="153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4410"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描述</w:t>
            </w:r>
          </w:p>
        </w:tc>
        <w:tc>
          <w:tcPr>
            <w:tcW w:w="1365"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数值</w:t>
            </w:r>
          </w:p>
        </w:tc>
        <w:tc>
          <w:tcPr>
            <w:tcW w:w="1537"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4410"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FRP排烟内筒内径</w:t>
            </w:r>
          </w:p>
        </w:tc>
        <w:tc>
          <w:tcPr>
            <w:tcW w:w="1365"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暂定</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4410"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FRP排烟内筒长度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高</w:t>
            </w:r>
            <w:r>
              <w:rPr>
                <w:rFonts w:hint="eastAsia" w:asciiTheme="minorEastAsia" w:hAnsiTheme="minorEastAsia" w:eastAsiaTheme="minorEastAsia" w:cstheme="minorEastAsia"/>
                <w:sz w:val="24"/>
                <w:szCs w:val="24"/>
                <w:lang w:val="en-US" w:eastAsia="zh-CN"/>
              </w:rPr>
              <w:t>暂定</w:t>
            </w:r>
            <w:bookmarkStart w:id="401" w:name="_GoBack"/>
            <w:bookmarkEnd w:id="401"/>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1365"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暂定+1</w:t>
            </w:r>
            <w:r>
              <w:rPr>
                <w:rFonts w:hint="eastAsia" w:asciiTheme="minorEastAsia" w:hAnsiTheme="minorEastAsia" w:eastAsiaTheme="minorEastAsia" w:cstheme="minorEastAsia"/>
                <w:sz w:val="24"/>
                <w:szCs w:val="24"/>
              </w:rPr>
              <w:t>m</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4410"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FRP排烟内筒非金属膨胀节的数量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ф</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.0m</w:t>
            </w:r>
            <w:r>
              <w:rPr>
                <w:rFonts w:hint="eastAsia" w:asciiTheme="minorEastAsia" w:hAnsiTheme="minorEastAsia" w:eastAsiaTheme="minorEastAsia" w:cstheme="minorEastAsia"/>
                <w:sz w:val="24"/>
                <w:szCs w:val="24"/>
                <w:lang w:eastAsia="zh-CN"/>
              </w:rPr>
              <w:t>)</w:t>
            </w:r>
          </w:p>
        </w:tc>
        <w:tc>
          <w:tcPr>
            <w:tcW w:w="1365"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4410"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FRP法兰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ф</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1365"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4410"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FRP法兰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ф0.2m</w:t>
            </w:r>
            <w:r>
              <w:rPr>
                <w:rFonts w:hint="eastAsia" w:asciiTheme="minorEastAsia" w:hAnsiTheme="minorEastAsia" w:eastAsiaTheme="minorEastAsia" w:cstheme="minorEastAsia"/>
                <w:sz w:val="24"/>
                <w:szCs w:val="24"/>
                <w:lang w:eastAsia="zh-CN"/>
              </w:rPr>
              <w:t>)</w:t>
            </w:r>
          </w:p>
        </w:tc>
        <w:tc>
          <w:tcPr>
            <w:tcW w:w="1365"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3"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4410"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酸液排放管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ф0.2m</w:t>
            </w:r>
            <w:r>
              <w:rPr>
                <w:rFonts w:hint="eastAsia" w:asciiTheme="minorEastAsia" w:hAnsiTheme="minorEastAsia" w:eastAsiaTheme="minorEastAsia" w:cstheme="minorEastAsia"/>
                <w:sz w:val="24"/>
                <w:szCs w:val="24"/>
                <w:lang w:eastAsia="zh-CN"/>
              </w:rPr>
              <w:t>)</w:t>
            </w:r>
          </w:p>
        </w:tc>
        <w:tc>
          <w:tcPr>
            <w:tcW w:w="1365" w:type="dxa"/>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537" w:type="dxa"/>
            <w:vAlign w:val="center"/>
          </w:tcPr>
          <w:p>
            <w:pPr>
              <w:spacing w:line="360" w:lineRule="auto"/>
              <w:rPr>
                <w:rFonts w:hint="eastAsia" w:asciiTheme="minorEastAsia" w:hAnsiTheme="minorEastAsia" w:eastAsiaTheme="minorEastAsia" w:cstheme="minorEastAsia"/>
                <w:sz w:val="24"/>
                <w:szCs w:val="24"/>
              </w:rPr>
            </w:pPr>
          </w:p>
        </w:tc>
      </w:tr>
    </w:tbl>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①FRP排烟内筒分段制作每段均应预留足够长度的检验段，检验段应≥300mm，检验率100%。同时随机抽取一根管段在任意位置取样；②FRP排烟内筒长度，水平烟道接口分界、标高、口径等具体以施工图为准；③FRP排烟内筒所使用的材料均为难燃材料。</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rPr>
        <w:t>玻璃钢排烟囱制作、验收遵循的主要标准和规范</w:t>
      </w:r>
      <w:bookmarkEnd w:id="5"/>
      <w:bookmarkEnd w:id="6"/>
      <w:bookmarkEnd w:id="7"/>
      <w:bookmarkEnd w:id="8"/>
    </w:p>
    <w:p>
      <w:pPr>
        <w:spacing w:line="360" w:lineRule="auto"/>
        <w:ind w:firstLine="480" w:firstLineChars="200"/>
        <w:rPr>
          <w:rFonts w:hint="eastAsia" w:asciiTheme="minorEastAsia" w:hAnsiTheme="minorEastAsia" w:eastAsiaTheme="minorEastAsia" w:cstheme="minorEastAsia"/>
          <w:sz w:val="24"/>
          <w:szCs w:val="24"/>
        </w:rPr>
      </w:pPr>
      <w:bookmarkStart w:id="9" w:name="_Toc320802444"/>
      <w:bookmarkStart w:id="10" w:name="_Toc320802814"/>
      <w:bookmarkStart w:id="11" w:name="_Toc322418549"/>
      <w:r>
        <w:rPr>
          <w:rFonts w:hint="eastAsia" w:asciiTheme="minorEastAsia" w:hAnsiTheme="minorEastAsia" w:eastAsiaTheme="minorEastAsia" w:cstheme="minorEastAsia"/>
          <w:sz w:val="24"/>
          <w:szCs w:val="24"/>
        </w:rPr>
        <w:t>美国标准：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《火电厂玻璃纤维增强塑料烟囱内筒设计、制造及安装标准》ASTM</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D5364-08</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中国标准：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《玻璃钢化工设备设计规定》 HG/T20696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《玻璃纤维短切原丝毡》 GB／T 1747.0</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《玻璃纤维无捻粗纱》 GB／T 1836.9</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《玻璃纤维无捻粗纱布》 GB／T 1837.08</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《连续玻璃纤维纱》 GB／T 1837.1</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《玻璃纤维网布》 JC 561.1、2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《纤维增强塑料性能试验方法总则》 GB/T 1446</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《纤维增强塑料拉伸性能试验方法》 GB/T 1447</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《玻璃纤维增强塑料压缩性能试验方法》 GB/T 1448</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《玻璃纤维增强塑料弯曲性能试验方法》 GB/T 1449</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《玻璃纤维增强塑料层间剪切强度试验方法》 GB/T 1450.1</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《玻璃纤维增强塑料冲压式剪切强度试验方法》 GB/T 1450.2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《纤维缠绕增强塑料环形试样力学性能试验方法》 GB 1458</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《纤维增强塑料密度和相对密度试验方法》 GB/T 1463</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《纤维增强塑料高低温力学性能试验准则》 GB/T 9979</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《纤维增强塑料巴氏巴柯尔硬度试验方法》 GB/T 3854</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以上标准有矛盾时，按较高标准执行</w:t>
      </w:r>
    </w:p>
    <w:p>
      <w:pPr>
        <w:spacing w:line="360" w:lineRule="auto"/>
        <w:ind w:firstLine="482" w:firstLineChars="200"/>
        <w:rPr>
          <w:rFonts w:hint="eastAsia" w:asciiTheme="minorEastAsia" w:hAnsiTheme="minorEastAsia" w:eastAsiaTheme="minorEastAsia" w:cstheme="minorEastAsia"/>
          <w:b/>
          <w:bCs/>
          <w:sz w:val="24"/>
          <w:szCs w:val="24"/>
        </w:rPr>
      </w:pPr>
      <w:bookmarkStart w:id="12" w:name="_Toc353625123"/>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玻璃钢排烟囱主要性能参数</w:t>
      </w:r>
      <w:bookmarkEnd w:id="12"/>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耐温性能：   -50~150℃</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设计寿命：   30年</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阻燃性(氧指数) ： 32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导热系数：   (0.23～0.29) W/(m·k)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纵向热膨胀系数： 2.0*10-5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环向热膨胀系数： 1.2*10-5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环向抗拉强度：   ≥220MPa</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环向抗弯强度：   ≥420MPa</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轴向抗拉强度：   ≥190MPa</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轴向抗弯强度：   ≥140MPa</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剪切弹性模量：   ≥7000MPa</w:t>
      </w:r>
    </w:p>
    <w:p>
      <w:pPr>
        <w:spacing w:line="360" w:lineRule="auto"/>
        <w:ind w:firstLine="480" w:firstLineChars="200"/>
        <w:rPr>
          <w:rFonts w:hint="eastAsia" w:asciiTheme="minorEastAsia" w:hAnsiTheme="minorEastAsia" w:eastAsiaTheme="minorEastAsia" w:cstheme="minorEastAsia"/>
          <w:sz w:val="24"/>
          <w:szCs w:val="24"/>
        </w:rPr>
      </w:pPr>
      <w:bookmarkStart w:id="13" w:name="_Toc353625124"/>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玻璃钢排烟囱技术来源特点</w:t>
      </w:r>
      <w:bookmarkEnd w:id="13"/>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本项目玻璃钢排烟囱技术采用美国技术</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由美国公司负责所有烟囱的设计；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设计依据美国标准进行；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由美国公司项目管理工程进行现场施工、管理；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由美国公司质量工程师进行现场质量控制；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制造设备采用美国进口设备；</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是从事FRP烟道、烟囱、脱硫系统喷淋管、洗涤塔等产品设计、制造、安装和维修的专业公司，成立于1960年，是美国第一个拥有ASME协会认可的RTP-1和FRPI的认证制造商，在世界范围内设计并制造完成了30多个FRP烟囱项目，最大烟囱直径达12米。</w:t>
      </w:r>
    </w:p>
    <w:p>
      <w:pPr>
        <w:spacing w:line="360" w:lineRule="auto"/>
        <w:ind w:firstLine="482" w:firstLineChars="200"/>
        <w:rPr>
          <w:rFonts w:hint="eastAsia" w:asciiTheme="minorEastAsia" w:hAnsiTheme="minorEastAsia" w:eastAsiaTheme="minorEastAsia" w:cstheme="minorEastAsia"/>
          <w:b/>
          <w:bCs/>
          <w:sz w:val="24"/>
          <w:szCs w:val="24"/>
        </w:rPr>
      </w:pPr>
      <w:bookmarkStart w:id="14" w:name="_Toc353625125"/>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rPr>
        <w:t>玻璃钢排烟囱性能保证</w:t>
      </w:r>
      <w:bookmarkEnd w:id="14"/>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从以下五个方面保证玻璃钢排烟囱的性能：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原材料：</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树脂：采用亚什兰公司基酯树脂，该品牌树脂在国外烟囱项目已经应用二十年以上，在国内脱硫已经应用有十年以上，其耐腐性能和耐温性能满足完全湿法工况条件。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纤维：采用美国欧文斯科宁公司耐腐蚀玻纤，耐腐性能和机械性能比标准的 E 玻纤和 E-CR 玻纤更高，纤维品质可以提高产品的强度。</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结构设计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由美国公司设计，有可依据的设计标准 。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成熟的专业设计方法和具有专业资质的设计团队。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采用有限元分析对设计进行分析、校核，保证设计满足载荷要求。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工艺设计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FRP烟囱作为一个大型构筑物，设计上为了满足强度要求，工艺上采用采用国外成熟的多纤维多工艺组合的施工工艺。</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通过不同的工艺组合及不同纤维组合铺层来优化设计，使其物理机械性能满足风载、地震和承压的要求。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根据公司的经验，对于烟囱制造形成专有的材料匹配使用及配方，最大限度发挥材料的特性。</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和设计匹配的制造设备和设施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采用美国进口设备，可实现多种纤维、多种成型工艺组合的施工作业要求。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可实现卧式缠绕、立式脱模。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带恒温、通风的移动式现场厂房保证施工环境。</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训练有素的团队、现场施工管理和实时质量控制</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由美国公司项目管理工程师进行现场施工、管理。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由美国公司质量工程师进行现场质量控制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美国公司具20多年的FRP制造经验并通过了国外FRP施工工艺技术的施工培训，能熟练制造程序。</w:t>
      </w:r>
    </w:p>
    <w:p>
      <w:pPr>
        <w:spacing w:line="360" w:lineRule="auto"/>
        <w:ind w:firstLine="482" w:firstLineChars="200"/>
        <w:rPr>
          <w:rFonts w:hint="eastAsia" w:asciiTheme="minorEastAsia" w:hAnsiTheme="minorEastAsia" w:eastAsiaTheme="minorEastAsia" w:cstheme="minorEastAsia"/>
          <w:b/>
          <w:bCs/>
          <w:sz w:val="24"/>
          <w:szCs w:val="24"/>
        </w:rPr>
      </w:pPr>
      <w:bookmarkStart w:id="15" w:name="_Toc353625126"/>
      <w:r>
        <w:rPr>
          <w:rFonts w:hint="eastAsia" w:asciiTheme="minorEastAsia" w:hAnsiTheme="minorEastAsia" w:eastAsiaTheme="minorEastAsia" w:cstheme="minorEastAsia"/>
          <w:b/>
          <w:bCs/>
          <w:sz w:val="24"/>
          <w:szCs w:val="24"/>
          <w:lang w:val="en-US" w:eastAsia="zh-CN"/>
        </w:rPr>
        <w:t>五、</w:t>
      </w:r>
      <w:r>
        <w:rPr>
          <w:rFonts w:hint="eastAsia" w:asciiTheme="minorEastAsia" w:hAnsiTheme="minorEastAsia" w:eastAsiaTheme="minorEastAsia" w:cstheme="minorEastAsia"/>
          <w:b/>
          <w:bCs/>
          <w:sz w:val="24"/>
          <w:szCs w:val="24"/>
        </w:rPr>
        <w:t>烟囱设计方案</w:t>
      </w:r>
      <w:bookmarkEnd w:id="15"/>
    </w:p>
    <w:p>
      <w:pPr>
        <w:spacing w:line="360" w:lineRule="auto"/>
        <w:ind w:firstLine="480" w:firstLineChars="200"/>
        <w:rPr>
          <w:rFonts w:hint="eastAsia" w:asciiTheme="minorEastAsia" w:hAnsiTheme="minorEastAsia" w:eastAsiaTheme="minorEastAsia" w:cstheme="minorEastAsia"/>
          <w:sz w:val="24"/>
          <w:szCs w:val="24"/>
        </w:rPr>
      </w:pPr>
      <w:bookmarkStart w:id="16" w:name="_Toc353625127"/>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总体布置方案</w:t>
      </w:r>
      <w:bookmarkEnd w:id="16"/>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1.1烟囱采用分段</w:t>
      </w:r>
      <w:r>
        <w:rPr>
          <w:rFonts w:hint="eastAsia" w:asciiTheme="minorEastAsia" w:hAnsiTheme="minorEastAsia" w:eastAsiaTheme="minorEastAsia" w:cstheme="minorEastAsia"/>
          <w:sz w:val="24"/>
          <w:szCs w:val="24"/>
          <w:lang w:val="en-US" w:eastAsia="zh-CN"/>
        </w:rPr>
        <w:t>自立</w:t>
      </w:r>
      <w:r>
        <w:rPr>
          <w:rFonts w:hint="eastAsia" w:asciiTheme="minorEastAsia" w:hAnsiTheme="minorEastAsia" w:eastAsiaTheme="minorEastAsia" w:cstheme="minorEastAsia"/>
          <w:sz w:val="24"/>
          <w:szCs w:val="24"/>
        </w:rPr>
        <w:t>结构。</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竖直的排烟内筒在底部90°弧形弯折形成两个水平布置的内烟道后，在钢筋混凝土外筒壁外侧分别与两台机组的外接烟道“圆接圆”方式法兰连接。内烟道与外接烟道相接的接口净尺寸</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工艺要求的尺寸</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为</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m内直径。</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可以支撑平台也可作为取样平台,在该平台之上可设置取样口。</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上部高度</w:t>
      </w:r>
      <w:r>
        <w:rPr>
          <w:rFonts w:hint="eastAsia" w:asciiTheme="minorEastAsia" w:hAnsiTheme="minorEastAsia" w:eastAsiaTheme="minorEastAsia" w:cstheme="minorEastAsia"/>
          <w:sz w:val="24"/>
          <w:szCs w:val="24"/>
          <w:lang w:val="en-US" w:eastAsia="zh-CN"/>
        </w:rPr>
        <w:t>48</w:t>
      </w:r>
      <w:r>
        <w:rPr>
          <w:rFonts w:hint="eastAsia" w:asciiTheme="minorEastAsia" w:hAnsiTheme="minorEastAsia" w:eastAsiaTheme="minorEastAsia" w:cstheme="minorEastAsia"/>
          <w:sz w:val="24"/>
          <w:szCs w:val="24"/>
        </w:rPr>
        <w:t>m高处的筒节，设有起吊肩，用于上段烟囱的起吊。</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单节烟囱内筒高度</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m，每个筒节布置2个加强筋，加强筋结构为梯形结构。</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在底部弯管的最低处设有冷凝结露液收集及排放系统，防止排烟内筒体系中的烟气冷凝结露液通过内烟道流淌到内外烟道连接处的膨胀伸缩节中。</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在烟囱顶部外端，设有防雨罩，可以防止雨水落入混凝土烟囱内，同时可以防止烟囱上端口溢出的冷凝液对混凝土烟囱造成腐蚀。</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在FRP烟囱顶部设有避雷系统。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承诺中标后进一步完成有关解决湿烟囱“烟囱雨”的冷凝结露液的收集及排放的相关功能设计和必要的实验工作。</w:t>
      </w:r>
    </w:p>
    <w:p>
      <w:pPr>
        <w:spacing w:line="360" w:lineRule="auto"/>
        <w:ind w:firstLine="480" w:firstLineChars="200"/>
        <w:rPr>
          <w:rFonts w:hint="eastAsia" w:asciiTheme="minorEastAsia" w:hAnsiTheme="minorEastAsia" w:eastAsiaTheme="minorEastAsia" w:cstheme="minorEastAsia"/>
          <w:sz w:val="24"/>
          <w:szCs w:val="24"/>
        </w:rPr>
      </w:pPr>
      <w:bookmarkStart w:id="17" w:name="_Toc353625128"/>
      <w:r>
        <w:rPr>
          <w:rFonts w:hint="eastAsia" w:asciiTheme="minorEastAsia" w:hAnsiTheme="minorEastAsia" w:eastAsiaTheme="minorEastAsia" w:cstheme="minorEastAsia"/>
          <w:sz w:val="24"/>
          <w:szCs w:val="24"/>
        </w:rPr>
        <w:t>2 材料选择</w:t>
      </w:r>
      <w:bookmarkEnd w:id="17"/>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钢排烟囱制作材料主要包括：树脂、玻璃纤维及制品、促进剂、固化剂、色浆、紫外线涂料等。各原材料的配合比例应按本规范书给定的设计条件及相关标注的设计要求由卖方试验确定，监造确认，买方批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 树脂</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为了保证排烟囱使用的安全性能，本项目玻璃钢排烟内筒基体材料采用亚什兰公公司生产的乙烯基酯树脂DERAKANE MOMENTUM510C-350HOI(或上纬公司阻燃乙烯基酯树脂SW 905-2)。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类树脂是具有阻燃功能的一种乙烯基树脂，树脂中含有溴化环氧骨架，予树脂以阻燃性，阻燃性能指标—氧指数达32，树脂在溶剂、化学品及氧化性酸等混合环境下的特殊耐腐蚀性以及高温下强度和韧性的极佳保留性，被广泛应用在烟囱和烟囱内衬层中，特别是在烟囱的应用中更具优越性，具有高耐腐、高耐热和高强度的综合特性。</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此款树脂是国外烟囱常用的品牌，有较多的烟囱应用案例，公司设计推荐采用DERAKANE MOMENTUM510C-350HOI树脂。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树脂耐高温性能试验</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DERAKANE MOMENTUM510C-350HOI树脂耐高温试验</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246245" cy="1866900"/>
            <wp:effectExtent l="0" t="0" r="20955" b="25400"/>
            <wp:docPr id="38" name="对象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6057900" cy="2554288"/>
                      <a:chOff x="1428750" y="3714750"/>
                      <a:chExt cx="6057900" cy="2554288"/>
                    </a:xfrm>
                  </a:grpSpPr>
                  <a:pic>
                    <a:nvPicPr>
                      <a:cNvPr id="18434" name="Picture 4" descr="2004_0312Image0014"/>
                      <a:cNvPicPr>
                        <a:picLocks noChangeAspect="1" noChangeArrowheads="1"/>
                      </a:cNvPicPr>
                    </a:nvPicPr>
                    <a:blipFill>
                      <a:blip r:embed="rId7"/>
                      <a:srcRect t="23994" b="10062"/>
                      <a:stretch>
                        <a:fillRect/>
                      </a:stretch>
                    </a:blipFill>
                    <a:spPr bwMode="auto">
                      <a:xfrm>
                        <a:off x="1428750" y="3714750"/>
                        <a:ext cx="6057900" cy="2554288"/>
                      </a:xfrm>
                      <a:prstGeom prst="rect">
                        <a:avLst/>
                      </a:prstGeom>
                      <a:noFill/>
                      <a:ln w="9525">
                        <a:noFill/>
                        <a:miter lim="800000"/>
                        <a:headEnd/>
                        <a:tailEnd/>
                      </a:ln>
                    </a:spPr>
                  </a:pic>
                  <a:sp>
                    <a:nvSpPr>
                      <a:cNvPr id="18435" name="Text Box 5"/>
                      <a:cNvSpPr txBox="1">
                        <a:spLocks noChangeArrowheads="1"/>
                      </a:cNvSpPr>
                    </a:nvSpPr>
                    <a:spPr bwMode="auto">
                      <a:xfrm>
                        <a:off x="1428750" y="5786438"/>
                        <a:ext cx="2095500" cy="369887"/>
                      </a:xfrm>
                      <a:prstGeom prst="rect">
                        <a:avLst/>
                      </a:prstGeom>
                      <a:noFill/>
                      <a:ln w="9525">
                        <a:noFill/>
                        <a:miter lim="800000"/>
                      </a:ln>
                    </a:spPr>
                    <a:txSp>
                      <a:txBody>
                        <a:bodyPr>
                          <a:spAutoFit/>
                        </a:bodyPr>
                        <a:lstStyle>
                          <a:defPPr>
                            <a:defRPr lang="zh-CN"/>
                          </a:defPPr>
                          <a:lvl1pPr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2"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2"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2"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2" charset="0"/>
                              <a:ea typeface="宋体" panose="02010600030101010101" charset="-122"/>
                              <a:cs typeface="+mn-cs"/>
                            </a:defRPr>
                          </a:lvl9pPr>
                        </a:lstStyle>
                        <a:p>
                          <a:pPr eaLnBrk="0" hangingPunct="0"/>
                          <a:r>
                            <a:rPr lang="en-US" altLang="zh-CN" b="1">
                              <a:latin typeface="Tahoma" panose="020B0604030504040204" pitchFamily="34" charset="0"/>
                            </a:rPr>
                            <a:t>315℃</a:t>
                          </a:r>
                          <a:r>
                            <a:rPr lang="zh-CN" altLang="en-US" b="1">
                              <a:latin typeface="Tahoma" panose="020B0604030504040204" pitchFamily="34" charset="0"/>
                            </a:rPr>
                            <a:t>暴露</a:t>
                          </a:r>
                          <a:r>
                            <a:rPr lang="en-US" altLang="zh-CN" b="1">
                              <a:latin typeface="Tahoma" panose="020B0604030504040204" pitchFamily="34" charset="0"/>
                            </a:rPr>
                            <a:t>1</a:t>
                          </a:r>
                          <a:r>
                            <a:rPr lang="zh-CN" altLang="en-US" b="1">
                              <a:latin typeface="Tahoma" panose="020B0604030504040204" pitchFamily="34" charset="0"/>
                            </a:rPr>
                            <a:t>小时</a:t>
                          </a:r>
                          <a:endParaRPr lang="zh-CN" altLang="en-US" b="1">
                            <a:latin typeface="Tahoma" panose="020B0604030504040204" pitchFamily="34" charset="0"/>
                          </a:endParaRPr>
                        </a:p>
                      </a:txBody>
                      <a:useSpRect/>
                    </a:txSp>
                  </a:sp>
                  <a:sp>
                    <a:nvSpPr>
                      <a:cNvPr id="18436" name="Text Box 6"/>
                      <a:cNvSpPr txBox="1">
                        <a:spLocks noChangeArrowheads="1"/>
                      </a:cNvSpPr>
                    </a:nvSpPr>
                    <a:spPr bwMode="auto">
                      <a:xfrm>
                        <a:off x="5715000" y="5715000"/>
                        <a:ext cx="869950" cy="366713"/>
                      </a:xfrm>
                      <a:prstGeom prst="rect">
                        <a:avLst/>
                      </a:prstGeom>
                      <a:noFill/>
                      <a:ln w="9525">
                        <a:noFill/>
                        <a:miter lim="800000"/>
                      </a:ln>
                    </a:spPr>
                    <a:txSp>
                      <a:txBody>
                        <a:bodyPr wrap="none">
                          <a:spAutoFit/>
                        </a:bodyPr>
                        <a:lstStyle>
                          <a:defPPr>
                            <a:defRPr lang="zh-CN"/>
                          </a:defPPr>
                          <a:lvl1pPr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2"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2"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2"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2" charset="0"/>
                              <a:ea typeface="宋体" panose="02010600030101010101" charset="-122"/>
                              <a:cs typeface="+mn-cs"/>
                            </a:defRPr>
                          </a:lvl9pPr>
                        </a:lstStyle>
                        <a:p>
                          <a:pPr eaLnBrk="0" hangingPunct="0"/>
                          <a:r>
                            <a:rPr lang="zh-CN" altLang="en-US" b="1">
                              <a:latin typeface="Tahoma" panose="020B0604030504040204" pitchFamily="34" charset="0"/>
                            </a:rPr>
                            <a:t>实验前</a:t>
                          </a:r>
                          <a:endParaRPr lang="zh-CN" altLang="en-US" b="1">
                            <a:latin typeface="Tahoma" panose="020B0604030504040204" pitchFamily="34" charset="0"/>
                          </a:endParaRPr>
                        </a:p>
                      </a:txBody>
                      <a:useSpRect/>
                    </a:txSp>
                  </a:sp>
                  <a:sp>
                    <a:nvSpPr>
                      <a:cNvPr id="6" name="Text Box 6"/>
                      <a:cNvSpPr txBox="1">
                        <a:spLocks noChangeArrowheads="1"/>
                      </a:cNvSpPr>
                    </a:nvSpPr>
                    <a:spPr bwMode="auto">
                      <a:xfrm>
                        <a:off x="2000232" y="4643446"/>
                        <a:ext cx="2044149" cy="369332"/>
                      </a:xfrm>
                      <a:prstGeom prst="rect">
                        <a:avLst/>
                      </a:prstGeom>
                      <a:noFill/>
                      <a:ln w="9525">
                        <a:noFill/>
                        <a:miter lim="800000"/>
                      </a:ln>
                    </a:spPr>
                    <a:txSp>
                      <a:txBody>
                        <a:bodyPr wrap="none">
                          <a:spAutoFit/>
                        </a:bodyPr>
                        <a:lstStyle>
                          <a:defPPr>
                            <a:defRPr lang="zh-CN"/>
                          </a:defPPr>
                          <a:lvl1pPr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Arial" panose="020B0604020202020204" pitchFamily="2"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2"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2"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2"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2" charset="0"/>
                              <a:ea typeface="宋体" panose="02010600030101010101" charset="-122"/>
                              <a:cs typeface="+mn-cs"/>
                            </a:defRPr>
                          </a:lvl9pPr>
                        </a:lstStyle>
                        <a:p>
                          <a:pPr eaLnBrk="0" hangingPunct="0"/>
                          <a:r>
                            <a:rPr lang="zh-CN" altLang="en-US" b="1" dirty="0" smtClean="0">
                              <a:solidFill>
                                <a:schemeClr val="bg1"/>
                              </a:solidFill>
                              <a:latin typeface="Tahoma" panose="020B0604030504040204" pitchFamily="34" charset="0"/>
                            </a:rPr>
                            <a:t>表面无灼伤、起鼓</a:t>
                          </a:r>
                          <a:endParaRPr lang="zh-CN" altLang="en-US" b="1" dirty="0">
                            <a:solidFill>
                              <a:schemeClr val="bg1"/>
                            </a:solidFill>
                            <a:latin typeface="Tahoma" panose="020B0604030504040204" pitchFamily="34" charset="0"/>
                          </a:endParaRPr>
                        </a:p>
                      </a:txBody>
                      <a:useSpRect/>
                    </a:txSp>
                  </a:sp>
                </lc:lockedCanvas>
              </a:graphicData>
            </a:graphic>
          </wp:inline>
        </w:drawing>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耐低温性能</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DERAKANE 510C树脂在低温下强度更高</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8960" behindDoc="0" locked="0" layoutInCell="1" allowOverlap="1">
            <wp:simplePos x="0" y="0"/>
            <wp:positionH relativeFrom="column">
              <wp:posOffset>678815</wp:posOffset>
            </wp:positionH>
            <wp:positionV relativeFrom="paragraph">
              <wp:posOffset>158115</wp:posOffset>
            </wp:positionV>
            <wp:extent cx="4264660" cy="3940175"/>
            <wp:effectExtent l="0" t="0" r="2540" b="9525"/>
            <wp:wrapNone/>
            <wp:docPr id="30" name="图片 315" descr="E4M744U9@03@``74W3]_@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5" descr="E4M744U9@03@``74W3]_@A9"/>
                    <pic:cNvPicPr>
                      <a:picLocks noChangeAspect="1"/>
                    </pic:cNvPicPr>
                  </pic:nvPicPr>
                  <pic:blipFill>
                    <a:blip r:embed="rId8"/>
                    <a:stretch>
                      <a:fillRect/>
                    </a:stretch>
                  </pic:blipFill>
                  <pic:spPr>
                    <a:xfrm>
                      <a:off x="0" y="0"/>
                      <a:ext cx="4264660" cy="394017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083810" cy="5834380"/>
            <wp:effectExtent l="0" t="0" r="8890" b="7620"/>
            <wp:docPr id="39" name="图片 2" descr="134F074-SWANCOR_905-2_产品说明书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134F074-SWANCOR_905-2_产品说明书_页面_1"/>
                    <pic:cNvPicPr>
                      <a:picLocks noChangeAspect="1"/>
                    </pic:cNvPicPr>
                  </pic:nvPicPr>
                  <pic:blipFill>
                    <a:blip r:embed="rId9"/>
                    <a:srcRect t="11884" b="15749"/>
                    <a:stretch>
                      <a:fillRect/>
                    </a:stretch>
                  </pic:blipFill>
                  <pic:spPr>
                    <a:xfrm>
                      <a:off x="0" y="0"/>
                      <a:ext cx="5083810" cy="5834380"/>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 树脂配方：</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促进剂，天津阿克苏诺贝尔公司：NL-49P。</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固化剂，天津阿克苏诺贝尔公司固化剂：BUTANOX LPT。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 玻璃纤维：</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长期以来大家对玻璃钢的认识存在一定的误区，认为玻璃钢的耐腐蚀只是靠树脂来承担，其实纤维也必须要具有耐腐蚀功能，因为一旦纤维出现腐，就会从树脂中分离出来，使树脂间出现裂缝，会降低整体FRP结构的强度，因此选择耐腐蚀玻璃纤维可以有效保证FRP的机械性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本项目玻璃钢排烟内筒采用美国欧文斯科宁公司的玻璃纤维产品—Advantex®耐腐蚀玻璃纤维，Advantex® 玻纤是获得专利的无硼玻璃纤维，兼具耐腐蚀的 E-CR 玻纤和 E 玻璃纤维增强材料的优点，符合 ASTM D 578</w:t>
      </w:r>
      <w:r>
        <w:rPr>
          <w:rFonts w:hint="eastAsia" w:asciiTheme="minorEastAsia" w:hAnsiTheme="minorEastAsia" w:eastAsiaTheme="minorEastAsia" w:cstheme="minorEastAsia"/>
          <w:sz w:val="24"/>
          <w:szCs w:val="24"/>
          <w:lang w:val="en-US" w:eastAsia="zh-CN"/>
        </w:rPr>
        <w:t>中</w:t>
      </w:r>
      <w:r>
        <w:rPr>
          <w:rFonts w:hint="eastAsia" w:asciiTheme="minorEastAsia" w:hAnsiTheme="minorEastAsia" w:eastAsiaTheme="minorEastAsia" w:cstheme="minorEastAsia"/>
          <w:sz w:val="24"/>
          <w:szCs w:val="24"/>
        </w:rPr>
        <w:t>标准，具备以下特性：</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机械性能比标准的 E 玻纤和 E-CR 玻纤更高</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耐腐蚀性能比标准的 E 玻纤更高。Advantex® 玻纤同时满足 ASTM D 578 </w:t>
      </w:r>
      <w:r>
        <w:rPr>
          <w:rFonts w:hint="eastAsia" w:asciiTheme="minorEastAsia" w:hAnsiTheme="minorEastAsia" w:eastAsiaTheme="minorEastAsia" w:cstheme="minorEastAsia"/>
          <w:sz w:val="24"/>
          <w:szCs w:val="24"/>
          <w:lang w:val="en-US" w:eastAsia="zh-CN"/>
        </w:rPr>
        <w:t>中</w:t>
      </w:r>
      <w:r>
        <w:rPr>
          <w:rFonts w:hint="eastAsia" w:asciiTheme="minorEastAsia" w:hAnsiTheme="minorEastAsia" w:eastAsiaTheme="minorEastAsia" w:cstheme="minorEastAsia"/>
          <w:sz w:val="24"/>
          <w:szCs w:val="24"/>
        </w:rPr>
        <w:t>与 ISO 2078标准。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不含氟，绿色环保材料，符合国际环保要求。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纤维和树脂的通润匹配也是影响到FRP制品质量的一个因素，因为不同的纤维其表面的偶联剂存在一定的差异，这种差异决定了树脂与玻纤的通润性，如果偶联剂与树脂匹配，纤维能完全被树脂浸润，反之浸润效果不好，其制品强度会有所下降。</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Advantex®玻纤维是公司推荐应用于DERAKANE MOMENTUM510C-350HOI树脂的纤维品牌，根据的经验，两者的匹配性更好。</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10%硫酸浸泡3个月试验</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3056" behindDoc="0" locked="0" layoutInCell="1" allowOverlap="1">
            <wp:simplePos x="0" y="0"/>
            <wp:positionH relativeFrom="column">
              <wp:posOffset>517525</wp:posOffset>
            </wp:positionH>
            <wp:positionV relativeFrom="paragraph">
              <wp:posOffset>68580</wp:posOffset>
            </wp:positionV>
            <wp:extent cx="4667885" cy="2299335"/>
            <wp:effectExtent l="0" t="0" r="5715" b="12065"/>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0"/>
                    <a:stretch>
                      <a:fillRect/>
                    </a:stretch>
                  </pic:blipFill>
                  <pic:spPr>
                    <a:xfrm>
                      <a:off x="0" y="0"/>
                      <a:ext cx="4667885" cy="229933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烟囱使用的主要纤维品种有：</w:t>
      </w:r>
    </w:p>
    <w:tbl>
      <w:tblPr>
        <w:tblStyle w:val="15"/>
        <w:tblW w:w="6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811"/>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产品名称</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单向布</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Advantex® UD 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玻璃布</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Advantex® WR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短切毡</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Advantex® M123 450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缠绕纱</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Advantex® T30 SE1200 2400tex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表面毡</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M524-ECR30A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喷射纱</w:t>
            </w:r>
          </w:p>
        </w:tc>
        <w:tc>
          <w:tcPr>
            <w:tcW w:w="3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Advantex® P209 2400tex</w:t>
            </w:r>
          </w:p>
        </w:tc>
      </w:tr>
    </w:tbl>
    <w:p>
      <w:pPr>
        <w:spacing w:line="360" w:lineRule="auto"/>
        <w:rPr>
          <w:rFonts w:hint="eastAsia" w:asciiTheme="minorEastAsia" w:hAnsiTheme="minorEastAsia" w:eastAsiaTheme="minorEastAsia" w:cstheme="minorEastAsia"/>
          <w:sz w:val="24"/>
          <w:szCs w:val="24"/>
        </w:rPr>
      </w:pPr>
      <w:bookmarkStart w:id="18" w:name="_Toc353625129"/>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导静电设计</w:t>
      </w:r>
      <w:bookmarkEnd w:id="18"/>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为防止烟囱内壁在气流作用下产生静电积灰或聚露，烟囱内表采用碳纤维毡作为增强材料材进行导静电设计，并配备接地系统。</w:t>
      </w:r>
    </w:p>
    <w:p>
      <w:pPr>
        <w:spacing w:line="360" w:lineRule="auto"/>
        <w:ind w:firstLine="480" w:firstLineChars="200"/>
        <w:rPr>
          <w:rFonts w:hint="eastAsia" w:asciiTheme="minorEastAsia" w:hAnsiTheme="minorEastAsia" w:eastAsiaTheme="minorEastAsia" w:cstheme="minorEastAsia"/>
          <w:sz w:val="24"/>
          <w:szCs w:val="24"/>
        </w:rPr>
      </w:pPr>
      <w:bookmarkStart w:id="19" w:name="_Toc353625130"/>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结构设计</w:t>
      </w:r>
      <w:bookmarkEnd w:id="1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FRP 烟囱内筒的结构设计满足设计要求的固定载荷、风载、地震载荷、飞灰载荷等各种载荷综合作用工况下的性能。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设计输入：</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335270" cy="6250305"/>
            <wp:effectExtent l="0" t="0" r="11430" b="10795"/>
            <wp:docPr id="40" name="图片 3" descr="H:\..\..\..\..\Application Data\Tencent\Users\1727193711\QQ\WinTemp\RichOle\X_XFKJI~UJFT%XTB]0E3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H:\..\..\..\..\Application Data\Tencent\Users\1727193711\QQ\WinTemp\RichOle\X_XFKJI~UJFT%XTB]0E3POT.jpg"/>
                    <pic:cNvPicPr>
                      <a:picLocks noChangeAspect="1"/>
                    </pic:cNvPicPr>
                  </pic:nvPicPr>
                  <pic:blipFill>
                    <a:blip r:embed="rId11" r:link="rId12"/>
                    <a:stretch>
                      <a:fillRect/>
                    </a:stretch>
                  </pic:blipFill>
                  <pic:spPr>
                    <a:xfrm>
                      <a:off x="0" y="0"/>
                      <a:ext cx="5335270" cy="6250305"/>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有限元分析：</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392420" cy="3460115"/>
            <wp:effectExtent l="0" t="0" r="5080" b="6985"/>
            <wp:docPr id="41" name="图片 4" descr="F}NA0[(DV~C5@K3AYBBLQ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F}NA0[(DV~C5@K3AYBBLQA7"/>
                    <pic:cNvPicPr>
                      <a:picLocks noChangeAspect="1"/>
                    </pic:cNvPicPr>
                  </pic:nvPicPr>
                  <pic:blipFill>
                    <a:blip r:embed="rId13"/>
                    <a:stretch>
                      <a:fillRect/>
                    </a:stretch>
                  </pic:blipFill>
                  <pic:spPr>
                    <a:xfrm>
                      <a:off x="0" y="0"/>
                      <a:ext cx="5392420" cy="3460115"/>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设计考虑的载荷组合如下:</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自重+积灰+常压+热力</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自重+积灰+常压+风载荷+热力</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自重+积灰+常压+地震载荷+热力</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设计范围主要包括</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内筒和部件的壁厚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烟道进口部分的设计,包括过渡\接头\连接法兰\和加强筋</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烟道头部、进口和膨胀节的垂直载荷的肩支撑设计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侧面导向支撑设计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起吊及装卸设计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内筒环向加强筋设计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膨胀节设计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加固部分设计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现场对接接头</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层压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铺层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结构</w:t>
      </w:r>
    </w:p>
    <w:p>
      <w:pPr>
        <w:spacing w:line="360" w:lineRule="auto"/>
        <w:ind w:firstLine="480" w:firstLineChars="200"/>
        <w:rPr>
          <w:rFonts w:hint="eastAsia" w:asciiTheme="minorEastAsia" w:hAnsiTheme="minorEastAsia" w:eastAsiaTheme="minorEastAsia" w:cstheme="minorEastAsia"/>
          <w:sz w:val="24"/>
          <w:szCs w:val="24"/>
        </w:rPr>
      </w:pPr>
      <w:bookmarkStart w:id="20" w:name="_Toc353625131"/>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附件设计</w:t>
      </w:r>
      <w:bookmarkEnd w:id="20"/>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起吊肩/支撑肩</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1008" behindDoc="0" locked="0" layoutInCell="1" allowOverlap="1">
            <wp:simplePos x="0" y="0"/>
            <wp:positionH relativeFrom="column">
              <wp:posOffset>847725</wp:posOffset>
            </wp:positionH>
            <wp:positionV relativeFrom="paragraph">
              <wp:posOffset>34290</wp:posOffset>
            </wp:positionV>
            <wp:extent cx="3459480" cy="3821430"/>
            <wp:effectExtent l="0" t="0" r="7620" b="1270"/>
            <wp:wrapNone/>
            <wp:docPr id="32" name="图片 319" descr="P[{G`7E6U{1MNIL33Y{V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9" descr="P[{G`7E6U{1MNIL33Y{V_2G"/>
                    <pic:cNvPicPr>
                      <a:picLocks noChangeAspect="1"/>
                    </pic:cNvPicPr>
                  </pic:nvPicPr>
                  <pic:blipFill>
                    <a:blip r:embed="rId14"/>
                    <a:stretch>
                      <a:fillRect/>
                    </a:stretch>
                  </pic:blipFill>
                  <pic:spPr>
                    <a:xfrm>
                      <a:off x="0" y="0"/>
                      <a:ext cx="3459480" cy="382143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inline distT="0" distB="0" distL="114300" distR="114300">
                <wp:extent cx="309880" cy="309880"/>
                <wp:effectExtent l="0" t="0" r="0" b="0"/>
                <wp:docPr id="42" name="图片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880" cy="309880"/>
                        </a:xfrm>
                        <a:prstGeom prst="rect">
                          <a:avLst/>
                        </a:prstGeom>
                        <a:noFill/>
                        <a:ln w="9525">
                          <a:noFill/>
                        </a:ln>
                      </wps:spPr>
                      <wps:bodyPr wrap="square" upright="1"/>
                    </wps:wsp>
                  </a:graphicData>
                </a:graphic>
              </wp:inline>
            </w:drawing>
          </mc:Choice>
          <mc:Fallback>
            <w:pict>
              <v:rect id="图片 5" o:spid="_x0000_s1026" o:spt="1" style="height:24.4pt;width:24.4pt;" filled="f" stroked="f" coordsize="21600,21600" o:gfxdata="UEsDBAoAAAAAAIdO4kAAAAAAAAAAAAAAAAAEAAAAZHJzL1BLAwQUAAAACACHTuJACAe1v9MAAAAD&#10;AQAADwAAAGRycy9kb3ducmV2LnhtbE2PQUvDQBCF70L/wzIFL2I3FZESs+mhUFpEKKba8zQ7JsHs&#10;bJrdJvXfO+pBLzMM7/Hme9ny4lo1UB8azwbmswQUceltw5WB1/36dgEqRGSLrWcy8EkBlvnkKsPU&#10;+pFfaChipSSEQ4oG6hi7VOtQ1uQwzHxHLNq77x1GOftK2x5HCXetvkuSB+2wYflQY0ermsqP4uwM&#10;jOVuOOyfN3p3c9h6Pm1Pq+LtyZjr6Tx5BBXpEv/M8I0v6JAL09Gf2QbVGpAi8WeKdr+QFsffrfNM&#10;/2fPvwBQSwMEFAAAAAgAh07iQFAzQa6lAQAAKwMAAA4AAABkcnMvZTJvRG9jLnhtbK1SXW4TMRB+&#10;R+IOlt/JblOC0lWcCrUqLxVUKhxg6rV3LdY/eJxscgLEGbgLt0Fcg7GzDbR9q/oysj0zn7/vm1md&#10;7+zAtiqi8U7wk1nNmXLSt8Z1gn/5fPVmyRkmcC0M3inB9wr5+fr1q9UYGjX3vR9aFRmBOGzGIHif&#10;UmiqCmWvLODMB+UoqX20kOgau6qNMBK6Hap5Xb+rRh/bEL1UiPR6eUjydcHXWsn0SWtUiQ2CE7dU&#10;YizxLsdqvYKmixB6Iyca8AwWFoyjT49Ql5CAbaJ5AmWNjB69TjPpbeW1NlIVDaTmpH6k5raHoIoW&#10;MgfD0SZ8OVj5cXsTmWkFfzvnzIGlGf3++evPj+9skc0ZAzZUcxtuYpaH4drLr8icv+jBdeo9BrKY&#10;Bp9rqwfF+YJT205Hm9tJL9sV8/dH89UuMUmPp/XZckkjkpSazhkTmvvmEDF9UN6yfBA80sfFcthe&#10;YzqU3pfkv5y/MsNA79AMjo2Cny3mi9JwzBD44CbeB6qZ9J1v9+TJSEshOH7bQFScbUI0Xf9AKU2k&#10;8Ju2J4/8/3vB/bfj6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IB7W/0wAAAAMBAAAPAAAAAAAA&#10;AAEAIAAAACIAAABkcnMvZG93bnJldi54bWxQSwECFAAUAAAACACHTuJAUDNBrqUBAAArAwAADgAA&#10;AAAAAAABACAAAAAiAQAAZHJzL2Uyb0RvYy54bWxQSwUGAAAAAAYABgBZAQAAOQUAAAAA&#10;">
                <v:fill on="f" focussize="0,0"/>
                <v:stroke on="f"/>
                <v:imagedata o:title=""/>
                <o:lock v:ext="edit" aspectratio="t"/>
                <w10:wrap type="none"/>
                <w10:anchorlock/>
              </v:rect>
            </w:pict>
          </mc:Fallback>
        </mc:AlternateConten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inline distT="0" distB="0" distL="114300" distR="114300">
                <wp:extent cx="309880" cy="309880"/>
                <wp:effectExtent l="0" t="0" r="0" b="0"/>
                <wp:docPr id="43" name="图片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880" cy="309880"/>
                        </a:xfrm>
                        <a:prstGeom prst="rect">
                          <a:avLst/>
                        </a:prstGeom>
                        <a:noFill/>
                        <a:ln w="9525">
                          <a:noFill/>
                        </a:ln>
                      </wps:spPr>
                      <wps:bodyPr wrap="square" upright="1"/>
                    </wps:wsp>
                  </a:graphicData>
                </a:graphic>
              </wp:inline>
            </w:drawing>
          </mc:Choice>
          <mc:Fallback>
            <w:pict>
              <v:rect id="图片 6" o:spid="_x0000_s1026" o:spt="1" style="height:24.4pt;width:24.4pt;" filled="f" stroked="f" coordsize="21600,21600" o:gfxdata="UEsDBAoAAAAAAIdO4kAAAAAAAAAAAAAAAAAEAAAAZHJzL1BLAwQUAAAACACHTuJACAe1v9MAAAAD&#10;AQAADwAAAGRycy9kb3ducmV2LnhtbE2PQUvDQBCF70L/wzIFL2I3FZESs+mhUFpEKKba8zQ7JsHs&#10;bJrdJvXfO+pBLzMM7/Hme9ny4lo1UB8azwbmswQUceltw5WB1/36dgEqRGSLrWcy8EkBlvnkKsPU&#10;+pFfaChipSSEQ4oG6hi7VOtQ1uQwzHxHLNq77x1GOftK2x5HCXetvkuSB+2wYflQY0ermsqP4uwM&#10;jOVuOOyfN3p3c9h6Pm1Pq+LtyZjr6Tx5BBXpEv/M8I0v6JAL09Gf2QbVGpAi8WeKdr+QFsffrfNM&#10;/2fPvwBQSwMEFAAAAAgAh07iQGnh0NimAQAAKwMAAA4AAABkcnMvZTJvRG9jLnhtbK1SS27bMBDd&#10;F+gdCO5rKc4HjmA6KBqkm6ANkPYADEVKRMVPZmjLPkHRM/QuvU3Ra3RIK26T7IJsBiRn5vG9N7O8&#10;2LqBbTSgDV7wo1nNmfYqtNZ3gn/9cvVuwRkm6Vs5BK8F32nkF6u3b5ZjbPQ89GFoNTAC8diMUfA+&#10;pdhUFapeO4mzELWnpAngZKIrdFULciR0N1Tzuj6rxgBthKA0Ir1e7pN8VfCN0Sp9NgZ1YoPgxC2V&#10;CCXe5VitlrLpQMbeqomGfAELJ62nTw9QlzJJtgb7DMpZBQGDSTMVXBWMsUoXDaTmqH6i5raXURct&#10;ZA7Gg034erDq0+YGmG0FPznmzEtHM/r989efH9/ZWTZnjNhQzW28gSwP43VQ35D58KGXvtPvMZLF&#10;NPhcWz0qzhec2rYGXG4nvWxbzN8dzNfbxBQ9HtfniwWNSFFqOmdM2Tw0R8D0UQfH8kFwoI+L5XJz&#10;jWlf+lCS//Lhyg4Dvctm8GwU/Px0floaDhkCH/zEe081k74L7Y48GWkpBMf7tQTN2TqC7fpHSmki&#10;hd+0PXnk/98L7r8dX/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Ae1v9MAAAADAQAADwAAAAAA&#10;AAABACAAAAAiAAAAZHJzL2Rvd25yZXYueG1sUEsBAhQAFAAAAAgAh07iQGnh0NimAQAAKwMAAA4A&#10;AAAAAAAAAQAgAAAAIgEAAGRycy9lMm9Eb2MueG1sUEsFBgAAAAAGAAYAWQEAADoFAAAAAA==&#10;">
                <v:fill on="f" focussize="0,0"/>
                <v:stroke on="f"/>
                <v:imagedata o:title=""/>
                <o:lock v:ext="edit" aspectratio="t"/>
                <w10:wrap type="none"/>
                <w10:anchorlock/>
              </v:rect>
            </w:pict>
          </mc:Fallback>
        </mc:AlternateConten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膨胀节</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79375</wp:posOffset>
            </wp:positionV>
            <wp:extent cx="3841750" cy="3730625"/>
            <wp:effectExtent l="0" t="0" r="6350" b="3175"/>
            <wp:wrapNone/>
            <wp:docPr id="1" name="图片 344" descr="OTIMYD$DL(M9G%N7L77})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4" descr="OTIMYD$DL(M9G%N7L77})QI"/>
                    <pic:cNvPicPr>
                      <a:picLocks noChangeAspect="1"/>
                    </pic:cNvPicPr>
                  </pic:nvPicPr>
                  <pic:blipFill>
                    <a:blip r:embed="rId15"/>
                    <a:srcRect b="1756"/>
                    <a:stretch>
                      <a:fillRect/>
                    </a:stretch>
                  </pic:blipFill>
                  <pic:spPr>
                    <a:xfrm>
                      <a:off x="0" y="0"/>
                      <a:ext cx="3841750" cy="373062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9984" behindDoc="0" locked="0" layoutInCell="1" allowOverlap="1">
            <wp:simplePos x="0" y="0"/>
            <wp:positionH relativeFrom="column">
              <wp:posOffset>1057275</wp:posOffset>
            </wp:positionH>
            <wp:positionV relativeFrom="paragraph">
              <wp:posOffset>201930</wp:posOffset>
            </wp:positionV>
            <wp:extent cx="3422650" cy="2556510"/>
            <wp:effectExtent l="0" t="0" r="6350" b="8890"/>
            <wp:wrapNone/>
            <wp:docPr id="31" name="图片 316" descr="Expansion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6" descr="Expansion Joint"/>
                    <pic:cNvPicPr>
                      <a:picLocks noChangeAspect="1"/>
                    </pic:cNvPicPr>
                  </pic:nvPicPr>
                  <pic:blipFill>
                    <a:blip r:embed="rId16"/>
                    <a:stretch>
                      <a:fillRect/>
                    </a:stretch>
                  </pic:blipFill>
                  <pic:spPr>
                    <a:xfrm>
                      <a:off x="0" y="0"/>
                      <a:ext cx="3422650" cy="255651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加强筋</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2032" behindDoc="0" locked="0" layoutInCell="1" allowOverlap="1">
            <wp:simplePos x="0" y="0"/>
            <wp:positionH relativeFrom="column">
              <wp:posOffset>310515</wp:posOffset>
            </wp:positionH>
            <wp:positionV relativeFrom="paragraph">
              <wp:posOffset>22225</wp:posOffset>
            </wp:positionV>
            <wp:extent cx="4959985" cy="3701415"/>
            <wp:effectExtent l="0" t="0" r="5715" b="6985"/>
            <wp:wrapNone/>
            <wp:docPr id="33" name="图片 320" descr="E9SVBA}9SXF8}LWB)7A]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0" descr="E9SVBA}9SXF8}LWB)7A]H30"/>
                    <pic:cNvPicPr>
                      <a:picLocks noChangeAspect="1"/>
                    </pic:cNvPicPr>
                  </pic:nvPicPr>
                  <pic:blipFill>
                    <a:blip r:embed="rId17"/>
                    <a:stretch>
                      <a:fillRect/>
                    </a:stretch>
                  </pic:blipFill>
                  <pic:spPr>
                    <a:xfrm>
                      <a:off x="0" y="0"/>
                      <a:ext cx="4959985" cy="370141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柔性导向支撑：</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538980" cy="3348355"/>
            <wp:effectExtent l="0" t="0" r="7620" b="4445"/>
            <wp:docPr id="44" name="图片 7" descr="C:\Documents and Settings\Administrator\Application Data\Tencent\Users\1727193711\QQ\WinTemp\RichOle\T3IF}Y%Q%SWSPP5EIMXZ6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C:\Documents and Settings\Administrator\Application Data\Tencent\Users\1727193711\QQ\WinTemp\RichOle\T3IF}Y%Q%SWSPP5EIMXZ6XP.jpg"/>
                    <pic:cNvPicPr>
                      <a:picLocks noChangeAspect="1"/>
                    </pic:cNvPicPr>
                  </pic:nvPicPr>
                  <pic:blipFill>
                    <a:blip r:embed="rId18" r:link="rId19"/>
                    <a:stretch>
                      <a:fillRect/>
                    </a:stretch>
                  </pic:blipFill>
                  <pic:spPr>
                    <a:xfrm>
                      <a:off x="0" y="0"/>
                      <a:ext cx="4538980" cy="334835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避雷系统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顶部的避雷针通过螺母板预埋固定在FRP 烟囱内筒上。预埋件通过缠绕成型工艺预埋在FRP 烟囱内筒外表面。</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709160" cy="2832100"/>
            <wp:effectExtent l="0" t="0" r="2540" b="0"/>
            <wp:docPr id="45" name="图片 8" descr="C:\Documents and Settings\Administrator\Application Data\Tencent\Users\1727193711\QQ\WinTemp\RichOle\P3HN_5J]U)1S~2QMVSPU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C:\Documents and Settings\Administrator\Application Data\Tencent\Users\1727193711\QQ\WinTemp\RichOle\P3HN_5J]U)1S~2QMVSPUCNB.jpg"/>
                    <pic:cNvPicPr>
                      <a:picLocks noChangeAspect="1"/>
                    </pic:cNvPicPr>
                  </pic:nvPicPr>
                  <pic:blipFill>
                    <a:blip r:embed="rId20" r:link="rId21"/>
                    <a:stretch>
                      <a:fillRect/>
                    </a:stretch>
                  </pic:blipFill>
                  <pic:spPr>
                    <a:xfrm>
                      <a:off x="0" y="0"/>
                      <a:ext cx="4709160" cy="283210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防雨罩</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2816" behindDoc="0" locked="0" layoutInCell="1" allowOverlap="1">
            <wp:simplePos x="0" y="0"/>
            <wp:positionH relativeFrom="column">
              <wp:posOffset>925830</wp:posOffset>
            </wp:positionH>
            <wp:positionV relativeFrom="paragraph">
              <wp:posOffset>28575</wp:posOffset>
            </wp:positionV>
            <wp:extent cx="3140075" cy="2134235"/>
            <wp:effectExtent l="0" t="0" r="9525" b="12065"/>
            <wp:wrapNone/>
            <wp:docPr id="24" name="图片 248" descr="7P[G2C~Z{)@77U)`B{O`8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8" descr="7P[G2C~Z{)@77U)`B{O`8NY"/>
                    <pic:cNvPicPr>
                      <a:picLocks noChangeAspect="1"/>
                    </pic:cNvPicPr>
                  </pic:nvPicPr>
                  <pic:blipFill>
                    <a:blip r:embed="rId22"/>
                    <a:stretch>
                      <a:fillRect/>
                    </a:stretch>
                  </pic:blipFill>
                  <pic:spPr>
                    <a:xfrm>
                      <a:off x="0" y="0"/>
                      <a:ext cx="3140075" cy="213423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735330</wp:posOffset>
            </wp:positionH>
            <wp:positionV relativeFrom="paragraph">
              <wp:posOffset>145415</wp:posOffset>
            </wp:positionV>
            <wp:extent cx="3838575" cy="4568190"/>
            <wp:effectExtent l="0" t="0" r="9525" b="3810"/>
            <wp:wrapNone/>
            <wp:docPr id="2" name="图片 321" descr="9Z`VO39[IXHBNZ%YND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1" descr="9Z`VO39[IXHBNZ%YNDI}~M6"/>
                    <pic:cNvPicPr>
                      <a:picLocks noChangeAspect="1"/>
                    </pic:cNvPicPr>
                  </pic:nvPicPr>
                  <pic:blipFill>
                    <a:blip r:embed="rId23"/>
                    <a:stretch>
                      <a:fillRect/>
                    </a:stretch>
                  </pic:blipFill>
                  <pic:spPr>
                    <a:xfrm>
                      <a:off x="0" y="0"/>
                      <a:ext cx="3838575" cy="456819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集液装置</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3840" behindDoc="0" locked="0" layoutInCell="1" allowOverlap="1">
            <wp:simplePos x="0" y="0"/>
            <wp:positionH relativeFrom="column">
              <wp:posOffset>602615</wp:posOffset>
            </wp:positionH>
            <wp:positionV relativeFrom="paragraph">
              <wp:posOffset>87630</wp:posOffset>
            </wp:positionV>
            <wp:extent cx="4125595" cy="2730500"/>
            <wp:effectExtent l="0" t="0" r="1905" b="0"/>
            <wp:wrapNone/>
            <wp:docPr id="25" name="图片 249" descr="NLVG0IF@)NG~~L8RJI)1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9" descr="NLVG0IF@)NG~~L8RJI)1BO1"/>
                    <pic:cNvPicPr>
                      <a:picLocks noChangeAspect="1"/>
                    </pic:cNvPicPr>
                  </pic:nvPicPr>
                  <pic:blipFill>
                    <a:blip r:embed="rId24"/>
                    <a:stretch>
                      <a:fillRect/>
                    </a:stretch>
                  </pic:blipFill>
                  <pic:spPr>
                    <a:xfrm>
                      <a:off x="0" y="0"/>
                      <a:ext cx="4125595" cy="2730500"/>
                    </a:xfrm>
                    <a:prstGeom prst="rect">
                      <a:avLst/>
                    </a:prstGeom>
                    <a:noFill/>
                    <a:ln w="9525">
                      <a:noFill/>
                    </a:ln>
                  </pic:spPr>
                </pic:pic>
              </a:graphicData>
            </a:graphic>
          </wp:anchor>
        </w:drawing>
      </w:r>
    </w:p>
    <w:bookmarkEnd w:id="9"/>
    <w:bookmarkEnd w:id="10"/>
    <w:bookmarkEnd w:id="11"/>
    <w:p>
      <w:pPr>
        <w:spacing w:line="360" w:lineRule="auto"/>
        <w:rPr>
          <w:rFonts w:hint="eastAsia" w:asciiTheme="minorEastAsia" w:hAnsiTheme="minorEastAsia" w:eastAsiaTheme="minorEastAsia" w:cstheme="minorEastAsia"/>
          <w:sz w:val="24"/>
          <w:szCs w:val="24"/>
        </w:rPr>
      </w:pPr>
      <w:bookmarkStart w:id="21" w:name="_Toc320802445"/>
      <w:bookmarkStart w:id="22" w:name="_Toc320802815"/>
      <w:bookmarkStart w:id="23" w:name="_Toc322418550"/>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bookmarkStart w:id="24" w:name="_Toc353625132"/>
      <w:r>
        <w:rPr>
          <w:rFonts w:hint="eastAsia" w:asciiTheme="minorEastAsia" w:hAnsiTheme="minorEastAsia" w:eastAsiaTheme="minorEastAsia" w:cstheme="minorEastAsia"/>
          <w:b/>
          <w:bCs/>
          <w:sz w:val="24"/>
          <w:szCs w:val="24"/>
          <w:lang w:val="en-US" w:eastAsia="zh-CN"/>
        </w:rPr>
        <w:t>六、</w:t>
      </w:r>
      <w:r>
        <w:rPr>
          <w:rFonts w:hint="eastAsia" w:asciiTheme="minorEastAsia" w:hAnsiTheme="minorEastAsia" w:eastAsiaTheme="minorEastAsia" w:cstheme="minorEastAsia"/>
          <w:b/>
          <w:bCs/>
          <w:sz w:val="24"/>
          <w:szCs w:val="24"/>
        </w:rPr>
        <w:t>玻璃钢排烟囱的制作</w:t>
      </w:r>
      <w:bookmarkEnd w:id="21"/>
      <w:bookmarkEnd w:id="22"/>
      <w:bookmarkEnd w:id="23"/>
      <w:bookmarkEnd w:id="24"/>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玻璃纤维增强塑料(玻璃钢)的制造是一个液态树脂及增强纤维结合起来形成一个整体的过程，其生产过程为典型的特殊生产过程，树脂是热固性的，由其制造的层压板是刚性的，永久性的。一旦复合并且固化，层合板将不能改变，材料不能恢复，产品的质量是在制造开始及过程中就决定了，没有办法通过下一步的检查来提高层合板的完整性或质量。因此FRP烟囱的质量在设计保证的前提下主要取决于生产设备、设施、工艺技术水平和实时过程质量控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玻璃钢排烟囱现场制作，由大型微机控制缠绕机带动专用模具转动来完成产品的缠绕、喷射等制作工艺。产品制作前，模具外表面缠绕专用塑料薄膜，以方便产品固化后的脱模工序。缠绕过程从产品内表面到外表面。产品结构壁从内到外分为内衬层、加强层和外表面层。外表面层包含紫外线吸收剂，以防止突发事件对产品的破坏和产品的自然老化。铺层顺序严格按照设计要求。整个铺层要求湿法铺制，中间过程由于客观需要，如果需要停止，停止的铺层须用一层喷射纱覆盖，开始下一层前对产品表面进行打磨，再继续以下的铺层。</w:t>
      </w:r>
    </w:p>
    <w:p>
      <w:pPr>
        <w:spacing w:line="360" w:lineRule="auto"/>
        <w:ind w:firstLine="480" w:firstLineChars="200"/>
        <w:rPr>
          <w:rFonts w:hint="eastAsia" w:asciiTheme="minorEastAsia" w:hAnsiTheme="minorEastAsia" w:eastAsiaTheme="minorEastAsia" w:cstheme="minorEastAsia"/>
          <w:sz w:val="24"/>
          <w:szCs w:val="24"/>
        </w:rPr>
      </w:pPr>
      <w:bookmarkStart w:id="25" w:name="_Toc353625133"/>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专用设备</w:t>
      </w:r>
      <w:bookmarkEnd w:id="25"/>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采用美国进口缠绕设备、电脑控制，自动化程度高。</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可实现多种纤维、多种成型工艺组合的施工作业要求。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可实现卧式缠绕、立式脱模。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运行参数：</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缠绕直径：</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-12m(涵养常用的烟气脱硫行业烟囱尺寸范围)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缠绕长度：14m </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缠绕速率：可达30公斤/分钟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能同时缠绕72股纱</w:t>
      </w:r>
    </w:p>
    <w:p>
      <w:pPr>
        <w:spacing w:line="360" w:lineRule="auto"/>
        <w:ind w:firstLine="480" w:firstLineChars="200"/>
        <w:rPr>
          <w:rFonts w:hint="eastAsia" w:asciiTheme="minorEastAsia" w:hAnsiTheme="minorEastAsia" w:eastAsiaTheme="minorEastAsia" w:cstheme="minorEastAsia"/>
          <w:sz w:val="24"/>
          <w:szCs w:val="24"/>
        </w:rPr>
      </w:pPr>
      <w:bookmarkStart w:id="26" w:name="_Toc353625134"/>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模具</w:t>
      </w:r>
      <w:bookmarkEnd w:id="26"/>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模具材料为金属结构，主要由钢面板和骨架组成，机械强度高，具有可自由拆装的特点；模具刚性好，不变易形，尺寸符合制作公差要求：模具锥度不大于直径的0.1％且不超过10mm，同心度误差不大于10mm，模具凹陷和突起不超过3mm/m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每一次脱模后均要检查模具是否损坏，如有损坏应及时修补，不得将有缺陷的模具用于排烟囱的制作。</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4080" behindDoc="0" locked="0" layoutInCell="1" allowOverlap="1">
            <wp:simplePos x="0" y="0"/>
            <wp:positionH relativeFrom="column">
              <wp:posOffset>571500</wp:posOffset>
            </wp:positionH>
            <wp:positionV relativeFrom="paragraph">
              <wp:posOffset>0</wp:posOffset>
            </wp:positionV>
            <wp:extent cx="4114800" cy="1684020"/>
            <wp:effectExtent l="0" t="0" r="0" b="5080"/>
            <wp:wrapTopAndBottom/>
            <wp:docPr id="35" name="图片 3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9" descr="2"/>
                    <pic:cNvPicPr>
                      <a:picLocks noChangeAspect="1"/>
                    </pic:cNvPicPr>
                  </pic:nvPicPr>
                  <pic:blipFill>
                    <a:blip r:embed="rId25"/>
                    <a:srcRect l="2942" t="4774" r="8824" b="4500"/>
                    <a:stretch>
                      <a:fillRect/>
                    </a:stretch>
                  </pic:blipFill>
                  <pic:spPr>
                    <a:xfrm>
                      <a:off x="0" y="0"/>
                      <a:ext cx="4114800" cy="1684020"/>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t>钢模具采用厂内分片制作现场组装的形式。分片数量为6片，每片设轴向筋板3条，环向筋板5条，保证弧形面板不变形。如下图：</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549775" cy="2688590"/>
            <wp:effectExtent l="0" t="0" r="9525" b="3810"/>
            <wp:docPr id="46" name="图片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123"/>
                    <pic:cNvPicPr>
                      <a:picLocks noChangeAspect="1"/>
                    </pic:cNvPicPr>
                  </pic:nvPicPr>
                  <pic:blipFill>
                    <a:blip r:embed="rId26"/>
                    <a:stretch>
                      <a:fillRect/>
                    </a:stretch>
                  </pic:blipFill>
                  <pic:spPr>
                    <a:xfrm>
                      <a:off x="0" y="0"/>
                      <a:ext cx="4549775" cy="2688590"/>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钢模具拼装后预留一条收紧接缝，距离50mm左右，在接缝处分布2-3个电动伸缩杆来控制接缝的收紧和张开。</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942080" cy="3197225"/>
            <wp:effectExtent l="0" t="0" r="7620" b="3175"/>
            <wp:docPr id="47" name="图片 10" descr="钢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钢模"/>
                    <pic:cNvPicPr>
                      <a:picLocks noChangeAspect="1"/>
                    </pic:cNvPicPr>
                  </pic:nvPicPr>
                  <pic:blipFill>
                    <a:blip r:embed="rId27"/>
                    <a:srcRect r="3667"/>
                    <a:stretch>
                      <a:fillRect/>
                    </a:stretch>
                  </pic:blipFill>
                  <pic:spPr>
                    <a:xfrm>
                      <a:off x="0" y="0"/>
                      <a:ext cx="3942080" cy="3197225"/>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组装完成的钢模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根据产品特点，此次制作模具拟采用厂内预制钢分片模具，现场组装的方案。模具组装的质量将直接影响产品质量，因此在每一次使用前需进行模具检验。</w:t>
      </w:r>
    </w:p>
    <w:tbl>
      <w:tblPr>
        <w:tblStyle w:val="15"/>
        <w:tblW w:w="914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3"/>
        <w:gridCol w:w="1733"/>
        <w:gridCol w:w="3502"/>
        <w:gridCol w:w="1658"/>
        <w:gridCol w:w="147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773" w:type="dxa"/>
            <w:tcBorders>
              <w:top w:val="double" w:color="auto" w:sz="4" w:space="0"/>
              <w:bottom w:val="single" w:color="auto" w:sz="6" w:space="0"/>
            </w:tcBorders>
            <w:shd w:val="clear" w:color="auto" w:fill="C6D9F1"/>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733" w:type="dxa"/>
            <w:tcBorders>
              <w:top w:val="double" w:color="auto" w:sz="4" w:space="0"/>
              <w:bottom w:val="single" w:color="auto" w:sz="6" w:space="0"/>
            </w:tcBorders>
            <w:shd w:val="clear" w:color="auto" w:fill="C6D9F1"/>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施工内容</w:t>
            </w:r>
          </w:p>
        </w:tc>
        <w:tc>
          <w:tcPr>
            <w:tcW w:w="3502" w:type="dxa"/>
            <w:tcBorders>
              <w:top w:val="double" w:color="auto" w:sz="4" w:space="0"/>
              <w:bottom w:val="single" w:color="auto" w:sz="6" w:space="0"/>
            </w:tcBorders>
            <w:shd w:val="clear" w:color="auto" w:fill="C6D9F1"/>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技术要求</w:t>
            </w:r>
          </w:p>
        </w:tc>
        <w:tc>
          <w:tcPr>
            <w:tcW w:w="1658" w:type="dxa"/>
            <w:tcBorders>
              <w:top w:val="double" w:color="auto" w:sz="4" w:space="0"/>
              <w:bottom w:val="single" w:color="auto" w:sz="6" w:space="0"/>
            </w:tcBorders>
            <w:shd w:val="clear" w:color="auto" w:fill="C6D9F1"/>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方法及工具</w:t>
            </w:r>
          </w:p>
        </w:tc>
        <w:tc>
          <w:tcPr>
            <w:tcW w:w="1474" w:type="dxa"/>
            <w:tcBorders>
              <w:top w:val="double" w:color="auto" w:sz="4" w:space="0"/>
              <w:bottom w:val="single" w:color="auto" w:sz="6" w:space="0"/>
            </w:tcBorders>
            <w:shd w:val="clear" w:color="auto" w:fill="C6D9F1"/>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773" w:type="dxa"/>
            <w:tcBorders>
              <w:top w:val="single" w:color="auto" w:sz="6"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33" w:type="dxa"/>
            <w:tcBorders>
              <w:top w:val="single" w:color="auto" w:sz="6"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外形尺寸检查</w:t>
            </w:r>
          </w:p>
        </w:tc>
        <w:tc>
          <w:tcPr>
            <w:tcW w:w="3502" w:type="dxa"/>
            <w:tcBorders>
              <w:top w:val="single" w:color="auto" w:sz="6"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模具使用区域长度误差小于1.5mm，直径误差小于8mm</w:t>
            </w:r>
          </w:p>
        </w:tc>
        <w:tc>
          <w:tcPr>
            <w:tcW w:w="1658" w:type="dxa"/>
            <w:tcBorders>
              <w:top w:val="single" w:color="auto" w:sz="6"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30m钢卷尺</w:t>
            </w:r>
          </w:p>
        </w:tc>
        <w:tc>
          <w:tcPr>
            <w:tcW w:w="1474" w:type="dxa"/>
            <w:vMerge w:val="restart"/>
            <w:tcBorders>
              <w:top w:val="single" w:color="auto" w:sz="6"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每次进行产品制作前必须检查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773"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733"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圆度检查</w:t>
            </w:r>
          </w:p>
        </w:tc>
        <w:tc>
          <w:tcPr>
            <w:tcW w:w="3502"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不圆度允差小于5mm</w:t>
            </w:r>
          </w:p>
        </w:tc>
        <w:tc>
          <w:tcPr>
            <w:tcW w:w="165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30m钢卷尺</w:t>
            </w:r>
          </w:p>
        </w:tc>
        <w:tc>
          <w:tcPr>
            <w:tcW w:w="1474" w:type="dxa"/>
            <w:vMerge w:val="continue"/>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81" w:hRule="atLeast"/>
          <w:jc w:val="center"/>
        </w:trPr>
        <w:tc>
          <w:tcPr>
            <w:tcW w:w="773"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733"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模具表面检查</w:t>
            </w:r>
          </w:p>
        </w:tc>
        <w:tc>
          <w:tcPr>
            <w:tcW w:w="3502"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本次模具采用钢制模具，要求模具表面无突起，无明显凹陷</w:t>
            </w:r>
          </w:p>
        </w:tc>
        <w:tc>
          <w:tcPr>
            <w:tcW w:w="165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目测</w:t>
            </w:r>
          </w:p>
        </w:tc>
        <w:tc>
          <w:tcPr>
            <w:tcW w:w="1474" w:type="dxa"/>
            <w:vMerge w:val="continue"/>
            <w:vAlign w:val="center"/>
          </w:tcPr>
          <w:p>
            <w:pPr>
              <w:spacing w:line="360" w:lineRule="auto"/>
              <w:jc w:val="center"/>
              <w:rPr>
                <w:rFonts w:hint="eastAsia" w:asciiTheme="minorEastAsia" w:hAnsiTheme="minorEastAsia" w:eastAsiaTheme="minorEastAsia" w:cstheme="minorEastAsia"/>
                <w:sz w:val="21"/>
                <w:szCs w:val="21"/>
              </w:rPr>
            </w:pPr>
          </w:p>
        </w:tc>
      </w:tr>
    </w:tbl>
    <w:p>
      <w:pPr>
        <w:spacing w:line="360" w:lineRule="auto"/>
        <w:ind w:firstLine="480" w:firstLineChars="200"/>
        <w:rPr>
          <w:rFonts w:hint="eastAsia" w:asciiTheme="minorEastAsia" w:hAnsiTheme="minorEastAsia" w:eastAsiaTheme="minorEastAsia" w:cstheme="minorEastAsia"/>
          <w:sz w:val="24"/>
          <w:szCs w:val="24"/>
        </w:rPr>
      </w:pPr>
      <w:bookmarkStart w:id="27" w:name="_Toc353625135"/>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活动厂房</w:t>
      </w:r>
      <w:bookmarkEnd w:id="27"/>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考虑到气候环境条件以及项目工期，本烟囱项目FRP内筒制作是在专有可移动的现场制作车间内进行，该车间带温度、湿度控制，设计可抵御120km/h的大风，可以充分满足FRP内筒对施工环境的要求：温度 ＞10 ℃ ，湿度 ＜ 75% ，车间设有通风、空调设施，完全满足安全、环境管理体系和质量体系的要求，可以保证产品在生产过程中不受雨雪、大风、沙尘影响，保证产品的合格性能和施工工期。</w:t>
      </w:r>
    </w:p>
    <w:p>
      <w:pPr>
        <w:spacing w:line="360" w:lineRule="auto"/>
        <w:ind w:firstLine="480" w:firstLineChars="200"/>
        <w:rPr>
          <w:rFonts w:hint="eastAsia" w:asciiTheme="minorEastAsia" w:hAnsiTheme="minorEastAsia" w:eastAsiaTheme="minorEastAsia" w:cstheme="minorEastAsia"/>
          <w:sz w:val="24"/>
          <w:szCs w:val="24"/>
        </w:rPr>
      </w:pPr>
      <w:bookmarkStart w:id="28" w:name="_Toc353625136"/>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烟囱内筒现场制作准备</w:t>
      </w:r>
      <w:bookmarkEnd w:id="28"/>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钢排烟囱现场制作必须在封闭的车间场地内制作，制作工作环境温度＞15°C、湿度≤75％。现场生产需要混凝土地坪以搭建标准化厂房、原材料贮存仓库、成品摆放地、废料处理场、办公场所、员工休息的场所等。具体需求根据现场情况及与业主方商谈后确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4.1场地需求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生产制作场地；</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混凝土地坪，用于搭建现场标准化厂房，制造FRP 烟囱内筒管段。需要面积为800m2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20m*40m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，如果可能，请尽可能提供离烟囱距离近的位置。制作场地所需地面硬化部分由投标人自行负责。</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混凝土地坪要求：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 度应符合设计要求，允许偏差值为坡度的2%，并且不大于30mm；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 抗压强度不应低于25N/mm2(3500psi)；</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 水泥基面牢固、结实、不起壳；</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 基面平坦、无凸凹不平、蜂窝麻面、水泥疙瘩，硬度好，没有水泥粉化的现象。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存放场地</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根据现场条件确定。期望场地面积的大小为3000m2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30m*100m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。如果可能，请尽可能提供离烟囱距离近的位置。</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如下图 公司的某项目现场的图片，从图片中可看出，存放场地可利用电厂任何场地。</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907415</wp:posOffset>
            </wp:positionH>
            <wp:positionV relativeFrom="paragraph">
              <wp:posOffset>29210</wp:posOffset>
            </wp:positionV>
            <wp:extent cx="4023360" cy="2580005"/>
            <wp:effectExtent l="0" t="0" r="2540" b="10795"/>
            <wp:wrapNone/>
            <wp:docPr id="3" name="图片 7" descr="AN-C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AN-COR 1"/>
                    <pic:cNvPicPr>
                      <a:picLocks noChangeAspect="1"/>
                    </pic:cNvPicPr>
                  </pic:nvPicPr>
                  <pic:blipFill>
                    <a:blip r:embed="rId28"/>
                    <a:stretch>
                      <a:fillRect/>
                    </a:stretch>
                  </pic:blipFill>
                  <pic:spPr>
                    <a:xfrm>
                      <a:off x="0" y="0"/>
                      <a:ext cx="4023360" cy="258000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4.2力能需要</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 施工用电：380V，100KW 的工业用电，甲方提供电源接点，自行连接至所需地点，并且自备电度表；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 临时供水，以满足现场生活用水的要求，排水设施通畅，甲方提供水源接点，自行连接至所需地点，并且自备水表；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 业主方按需求提供消防用水源；</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④ 业主方提供电话源和网络源；</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4.3其它方面需要</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现场道路必须满足材料、8×9m 产品等物品的运输和消防要求。要保证车辆行驶畅通，并有回转的可能。道路承载能力须满足重型车辆通行需求。建设的临建设施必须考虑消防要求，临时设施如工地办公室、厨房、工人休息室、厕所等，其位置应考虑使用方便，但又不能妨碍施工，并要符合防火、保卫的规定。</w:t>
      </w:r>
    </w:p>
    <w:p>
      <w:pPr>
        <w:spacing w:line="360" w:lineRule="auto"/>
        <w:ind w:firstLine="480" w:firstLineChars="200"/>
        <w:rPr>
          <w:rFonts w:hint="eastAsia" w:asciiTheme="minorEastAsia" w:hAnsiTheme="minorEastAsia" w:eastAsiaTheme="minorEastAsia" w:cstheme="minorEastAsia"/>
          <w:sz w:val="24"/>
          <w:szCs w:val="24"/>
        </w:rPr>
      </w:pPr>
      <w:bookmarkStart w:id="29" w:name="_Toc320802446"/>
      <w:bookmarkStart w:id="30" w:name="_Toc322418551"/>
      <w:bookmarkStart w:id="31" w:name="_Toc353625137"/>
      <w:bookmarkStart w:id="32" w:name="_Toc320802816"/>
      <w:r>
        <w:rPr>
          <w:rFonts w:hint="eastAsia" w:asciiTheme="minorEastAsia" w:hAnsiTheme="minorEastAsia" w:eastAsiaTheme="minorEastAsia" w:cstheme="minorEastAsia"/>
          <w:sz w:val="24"/>
          <w:szCs w:val="24"/>
        </w:rPr>
        <w:t>5 玻璃钢排烟囱结构组成及厚度</w:t>
      </w:r>
      <w:bookmarkEnd w:id="29"/>
      <w:bookmarkEnd w:id="30"/>
      <w:bookmarkEnd w:id="31"/>
      <w:bookmarkEnd w:id="32"/>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玻璃钢排烟囱防腐层、结构层和外表层厚度响应招标文件要求，最终的厚度等待施工图阶段确定。</w:t>
      </w:r>
    </w:p>
    <w:p>
      <w:pPr>
        <w:spacing w:line="360" w:lineRule="auto"/>
        <w:ind w:firstLine="480" w:firstLineChars="200"/>
        <w:rPr>
          <w:rFonts w:hint="eastAsia" w:asciiTheme="minorEastAsia" w:hAnsiTheme="minorEastAsia" w:eastAsiaTheme="minorEastAsia" w:cstheme="minorEastAsia"/>
          <w:sz w:val="24"/>
          <w:szCs w:val="24"/>
        </w:rPr>
      </w:pPr>
      <w:bookmarkStart w:id="33" w:name="_Toc320802447"/>
      <w:bookmarkStart w:id="34" w:name="_Toc320802817"/>
      <w:bookmarkStart w:id="35" w:name="_Toc322418552"/>
      <w:bookmarkStart w:id="36" w:name="_Toc353625138"/>
      <w:r>
        <w:rPr>
          <w:rFonts w:hint="eastAsia" w:asciiTheme="minorEastAsia" w:hAnsiTheme="minorEastAsia" w:eastAsiaTheme="minorEastAsia" w:cstheme="minorEastAsia"/>
          <w:sz w:val="24"/>
          <w:szCs w:val="24"/>
        </w:rPr>
        <w:t>6 玻璃钢排烟囱铺层工艺</w:t>
      </w:r>
      <w:bookmarkEnd w:id="33"/>
      <w:bookmarkEnd w:id="34"/>
      <w:bookmarkEnd w:id="35"/>
      <w:bookmarkEnd w:id="36"/>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 (1) 耐腐蚀层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树脂平均含量≥85%</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该层采用1层30g/m2、厚度约0.25mm碳面纱、1层30g/m2、厚度约0.25mm 工业级别C型的表面毡及3层由2400tex耐腐蚀玻璃纤维喷射纱</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单层厚度约0.75 mm，300g/m2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。该层树脂中添加碳化硅以提高内表面耐磨性能，确保内筒在高速烟气运行下不受磨损。</w:t>
      </w:r>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 (2) 结构层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树脂平均含量≥50%</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该层由2400tex耐腐蚀玻璃纤维喷射纱</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单层厚度约0.75 mm，300g/m2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，2400tex耐腐蚀玻璃纤维缠绕纱(成型厚度约0.55 mm)，430g/m2、厚度约0.5 mm耐腐蚀玻璃纤维单向布组合构成，通过缠绕、喷射方法成型直至达到设计厚度，一次单向布铺层为两层，搭接为布宽的一半。</w:t>
      </w:r>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 xml:space="preserve"> (3) 防老化层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树脂平均含量≥85%</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该层采用喷射树脂胶液，树脂中含抗老化剂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UV-531二甲苯酮类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,吸收紫外线及有害波段的光波,提高设备耐侯性能，延长使用寿命。外表层中可以加入用户要求的产品最终颜色。</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各种纤维的含胶量分别如下：</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碳纤表面毡  树脂含量≥92%   36g/m2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玻璃表面毡  树脂含量≥92%   30g/m2</w:t>
      </w:r>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喷射纱  树脂含量≥75%   300g/m2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2400TEX</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网格布  树脂含量≥92%  60g/m2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单向布   树脂含量≥40%  430g/m2</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环向缠绕纱   树脂含量≥35%  2400TEX</w:t>
      </w:r>
    </w:p>
    <w:p>
      <w:pPr>
        <w:spacing w:line="360" w:lineRule="auto"/>
        <w:ind w:firstLine="480" w:firstLineChars="200"/>
        <w:rPr>
          <w:rFonts w:hint="eastAsia" w:asciiTheme="minorEastAsia" w:hAnsiTheme="minorEastAsia" w:eastAsiaTheme="minorEastAsia" w:cstheme="minorEastAsia"/>
          <w:sz w:val="24"/>
          <w:szCs w:val="24"/>
        </w:rPr>
      </w:pPr>
      <w:bookmarkStart w:id="37" w:name="_Toc353625139"/>
      <w:r>
        <w:rPr>
          <w:rFonts w:hint="eastAsia" w:asciiTheme="minorEastAsia" w:hAnsiTheme="minorEastAsia" w:eastAsiaTheme="minorEastAsia" w:cstheme="minorEastAsia"/>
          <w:sz w:val="24"/>
          <w:szCs w:val="24"/>
        </w:rPr>
        <w:t>7 烟囱铺层成型方式</w:t>
      </w:r>
      <w:bookmarkEnd w:id="37"/>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148580" cy="3254375"/>
            <wp:effectExtent l="0" t="0" r="7620" b="9525"/>
            <wp:docPr id="48" name="图片 11" descr="H:\..\..\..\..\Application Data\Tencent\Users\1727193711\QQ\WinTemp\RichOle\UBQ~]D8)R_PL%V}9[M7T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H:\..\..\..\..\Application Data\Tencent\Users\1727193711\QQ\WinTemp\RichOle\UBQ~]D8)R_PL%V}9[M7T31I.jpg"/>
                    <pic:cNvPicPr>
                      <a:picLocks noChangeAspect="1"/>
                    </pic:cNvPicPr>
                  </pic:nvPicPr>
                  <pic:blipFill>
                    <a:blip r:embed="rId29" r:link="rId30"/>
                    <a:stretch>
                      <a:fillRect/>
                    </a:stretch>
                  </pic:blipFill>
                  <pic:spPr>
                    <a:xfrm>
                      <a:off x="0" y="0"/>
                      <a:ext cx="5148580" cy="325437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402580" cy="3274695"/>
            <wp:effectExtent l="0" t="0" r="7620" b="1905"/>
            <wp:docPr id="49" name="图片 12" descr="H:\..\..\..\..\Application Data\Tencent\Users\1727193711\QQ\WinTemp\RichOle\BIX2C1RUG`)LFR~J{U8(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H:\..\..\..\..\Application Data\Tencent\Users\1727193711\QQ\WinTemp\RichOle\BIX2C1RUG`)LFR~J{U8(_DT.jpg"/>
                    <pic:cNvPicPr>
                      <a:picLocks noChangeAspect="1"/>
                    </pic:cNvPicPr>
                  </pic:nvPicPr>
                  <pic:blipFill>
                    <a:blip r:embed="rId31" r:link="rId32"/>
                    <a:stretch>
                      <a:fillRect/>
                    </a:stretch>
                  </pic:blipFill>
                  <pic:spPr>
                    <a:xfrm>
                      <a:off x="0" y="0"/>
                      <a:ext cx="5402580" cy="327469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405755" cy="3674745"/>
            <wp:effectExtent l="0" t="0" r="4445" b="8255"/>
            <wp:docPr id="50" name="图片 13" descr="H:\..\..\..\..\Application Data\Tencent\Users\1727193711\QQ\WinTemp\RichOle\H5GD_NDF1BTR}~K61_BRR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H:\..\..\..\..\Application Data\Tencent\Users\1727193711\QQ\WinTemp\RichOle\H5GD_NDF1BTR}~K61_BRRWU.jpg"/>
                    <pic:cNvPicPr>
                      <a:picLocks noChangeAspect="1"/>
                    </pic:cNvPicPr>
                  </pic:nvPicPr>
                  <pic:blipFill>
                    <a:blip r:embed="rId33" r:link="rId34"/>
                    <a:stretch>
                      <a:fillRect/>
                    </a:stretch>
                  </pic:blipFill>
                  <pic:spPr>
                    <a:xfrm>
                      <a:off x="0" y="0"/>
                      <a:ext cx="5405755" cy="367474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sz w:val="24"/>
          <w:szCs w:val="24"/>
        </w:rPr>
      </w:pPr>
      <w:bookmarkStart w:id="38" w:name="_Toc353625140"/>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排烟囱制作工艺流程图</w:t>
      </w:r>
      <w:bookmarkEnd w:id="38"/>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group id="_x0000_s1129" o:spid="_x0000_s1129" o:spt="203" style="height:295.8pt;width:476.2pt;" coordsize="10205,4891">
            <o:lock v:ext="edit" rotation="t"/>
            <v:shape id="_x0000_s1130" o:spid="_x0000_s1130" o:spt="75" type="#_x0000_t75" style="position:absolute;left:0;top:0;height:4891;width:10205;" filled="f" o:preferrelative="f" stroked="f" coordsize="21600,21600">
              <v:path/>
              <v:fill on="f" focussize="0,0"/>
              <v:stroke on="f"/>
              <v:imagedata o:title=""/>
              <o:lock v:ext="edit" aspectratio="t"/>
            </v:shape>
            <v:line id="_x0000_s1131" o:spid="_x0000_s1131" o:spt="20" style="position:absolute;left:1800;top:312;height:1249;width:0;" coordsize="21600,21600">
              <v:path arrowok="t"/>
              <v:fill focussize="0,0"/>
              <v:stroke/>
              <v:imagedata o:title=""/>
              <o:lock v:ext="edit"/>
            </v:line>
            <v:line id="_x0000_s1132" o:spid="_x0000_s1132" o:spt="20" style="position:absolute;left:6723;top:937;height:1;width:240;" coordsize="21600,21600">
              <v:path arrowok="t"/>
              <v:fill focussize="0,0"/>
              <v:stroke/>
              <v:imagedata o:title=""/>
              <o:lock v:ext="edit"/>
            </v:line>
            <v:line id="_x0000_s1133" o:spid="_x0000_s1133" o:spt="20" style="position:absolute;left:8884;top:2706;flip:x;height:0;width:241;" coordsize="21600,21600">
              <v:path arrowok="t"/>
              <v:fill focussize="0,0"/>
              <v:stroke/>
              <v:imagedata o:title=""/>
              <o:lock v:ext="edit"/>
            </v:line>
            <v:line id="_x0000_s1134" o:spid="_x0000_s1134" o:spt="20" style="position:absolute;left:7084;top:3018;height:104;width:0;" coordsize="21600,21600">
              <v:path arrowok="t"/>
              <v:fill focussize="0,0"/>
              <v:stroke/>
              <v:imagedata o:title=""/>
              <o:lock v:ext="edit"/>
            </v:line>
            <v:line id="_x0000_s1135" o:spid="_x0000_s1135" o:spt="20" style="position:absolute;left:6723;top:2810;flip:x;height:0;width:361;" coordsize="21600,21600">
              <v:path arrowok="t"/>
              <v:fill focussize="0,0"/>
              <v:stroke/>
              <v:imagedata o:title=""/>
              <o:lock v:ext="edit"/>
            </v:line>
            <v:shape id="_x0000_s1136" o:spid="_x0000_s1136" o:spt="136" type="#_x0000_t136" style="position:absolute;left:4322;top:832;height:160;width:639;" coordsize="21600,21600">
              <v:path/>
              <v:fill focussize="0,0"/>
              <v:stroke/>
              <v:imagedata o:title=""/>
              <o:lock v:ext="edit" text="f"/>
              <v:textpath on="t" fitshape="t" fitpath="t" trim="t" xscale="f" string="胶凝固化" style="font-family:宋体;font-size:12pt;v-text-align:center;"/>
            </v:shape>
            <v:line id="_x0000_s1137" o:spid="_x0000_s1137" o:spt="20" style="position:absolute;left:5522;top:2810;flip:y;height:520;width:0;" coordsize="21600,21600">
              <v:path arrowok="t"/>
              <v:fill focussize="0,0"/>
              <v:stroke endarrow="block"/>
              <v:imagedata o:title=""/>
              <o:lock v:ext="edit"/>
            </v:line>
            <v:rect id="_x0000_s1138" o:spid="_x0000_s1138" o:spt="1" style="position:absolute;left:4922;top:3330;height:416;width:1199;" coordsize="21600,21600">
              <v:path/>
              <v:fill focussize="0,0"/>
              <v:stroke/>
              <v:imagedata o:title=""/>
              <o:lock v:ext="edit"/>
            </v:rect>
            <v:rect id="_x0000_s1139" o:spid="_x0000_s1139" o:spt="1" style="position:absolute;left:4802;top:1353;height:416;width:1201;" coordsize="21600,21600">
              <v:path/>
              <v:fill focussize="0,0"/>
              <v:stroke/>
              <v:imagedata o:title=""/>
              <o:lock v:ext="edit"/>
            </v:rect>
            <v:rect id="_x0000_s1140" o:spid="_x0000_s1140" o:spt="1" alt="设备调试" style="position:absolute;left:0;top:110;height:415;width:1320;" coordsize="21600,21600">
              <v:path/>
              <v:fill focussize="0,0"/>
              <v:stroke/>
              <v:imagedata o:title=""/>
              <o:lock v:ext="edit"/>
            </v:rect>
            <v:rect id="_x0000_s1141" o:spid="_x0000_s1141" o:spt="1" style="position:absolute;left:0;top:728;height:417;width:1320;" coordsize="21600,21600">
              <v:path/>
              <v:fill focussize="0,0"/>
              <v:stroke/>
              <v:imagedata o:title=""/>
              <o:lock v:ext="edit"/>
            </v:rect>
            <v:line id="_x0000_s1142" o:spid="_x0000_s1142" o:spt="20" style="position:absolute;left:1321;top:312;height:0;width:479;" coordsize="21600,21600">
              <v:path arrowok="t"/>
              <v:fill focussize="0,0"/>
              <v:stroke/>
              <v:imagedata o:title=""/>
              <o:lock v:ext="edit"/>
            </v:line>
            <v:line id="_x0000_s1143" o:spid="_x0000_s1143" o:spt="20" style="position:absolute;left:1314;top:1562;height:0;width:481;" coordsize="21600,21600">
              <v:path arrowok="t"/>
              <v:fill focussize="0,0"/>
              <v:stroke/>
              <v:imagedata o:title=""/>
              <o:lock v:ext="edit"/>
            </v:line>
            <v:line id="_x0000_s1144" o:spid="_x0000_s1144" o:spt="20" style="position:absolute;left:1801;top:937;height:0;width:600;" coordsize="21600,21600">
              <v:path arrowok="t"/>
              <v:fill focussize="0,0"/>
              <v:stroke endarrow="block"/>
              <v:imagedata o:title=""/>
              <o:lock v:ext="edit"/>
            </v:line>
            <v:rect id="_x0000_s1145" o:spid="_x0000_s1145" o:spt="1" style="position:absolute;left:2401;top:728;height:417;width:1081;" coordsize="21600,21600">
              <v:path/>
              <v:fill focussize="0,0"/>
              <v:stroke/>
              <v:imagedata o:title=""/>
              <o:lock v:ext="edit"/>
            </v:rect>
            <v:line id="_x0000_s1146" o:spid="_x0000_s1146" o:spt="20" style="position:absolute;left:3482;top:937;height:1;width:600;" coordsize="21600,21600">
              <v:path arrowok="t"/>
              <v:fill focussize="0,0"/>
              <v:stroke endarrow="block"/>
              <v:imagedata o:title=""/>
              <o:lock v:ext="edit"/>
            </v:line>
            <v:rect id="_x0000_s1147" o:spid="_x0000_s1147" o:spt="1" style="position:absolute;left:4082;top:728;height:417;width:1080;" coordsize="21600,21600">
              <v:path/>
              <v:fill focussize="0,0"/>
              <v:stroke/>
              <v:imagedata o:title=""/>
              <o:lock v:ext="edit"/>
              <v:textbox>
                <w:txbxContent>
                  <w:p>
                    <w:pPr>
                      <w:ind w:left="-141" w:leftChars="-67"/>
                      <w:rPr>
                        <w:b/>
                        <w:sz w:val="24"/>
                        <w:szCs w:val="21"/>
                      </w:rPr>
                    </w:pPr>
                    <w:r>
                      <w:rPr>
                        <w:rFonts w:hint="eastAsia"/>
                        <w:b/>
                        <w:w w:val="87"/>
                        <w:kern w:val="0"/>
                        <w:sz w:val="24"/>
                        <w:szCs w:val="21"/>
                        <w:fitText w:val="844" w:id="0"/>
                      </w:rPr>
                      <w:t>胶凝固化</w:t>
                    </w:r>
                  </w:p>
                </w:txbxContent>
              </v:textbox>
            </v:rect>
            <v:line id="_x0000_s1148" o:spid="_x0000_s1148" o:spt="20" style="position:absolute;left:5162;top:937;height:1;width:480;" coordsize="21600,21600">
              <v:path arrowok="t"/>
              <v:fill focussize="0,0"/>
              <v:stroke endarrow="block"/>
              <v:imagedata o:title=""/>
              <o:lock v:ext="edit"/>
            </v:line>
            <v:rect id="_x0000_s1149" o:spid="_x0000_s1149" o:spt="1" style="position:absolute;left:5642;top:728;height:417;width:1083;" coordsize="21600,21600">
              <v:path/>
              <v:fill focussize="0,0"/>
              <v:stroke/>
              <v:imagedata o:title=""/>
              <o:lock v:ext="edit"/>
            </v:rect>
            <v:line id="_x0000_s1150" o:spid="_x0000_s1150" o:spt="20" style="position:absolute;left:6963;top:416;flip:y;height:521;width:0;" coordsize="21600,21600">
              <v:path arrowok="t"/>
              <v:fill focussize="0,0"/>
              <v:stroke/>
              <v:imagedata o:title=""/>
              <o:lock v:ext="edit"/>
            </v:line>
            <v:line id="_x0000_s1151" o:spid="_x0000_s1151" o:spt="20" style="position:absolute;left:6963;top:937;height:520;width:0;" coordsize="21600,21600">
              <v:path arrowok="t"/>
              <v:fill focussize="0,0"/>
              <v:stroke/>
              <v:imagedata o:title=""/>
              <o:lock v:ext="edit"/>
            </v:line>
            <v:line id="_x0000_s1152" o:spid="_x0000_s1152" o:spt="20" style="position:absolute;left:6963;top:416;height:0;width:481;" coordsize="21600,21600">
              <v:path arrowok="t"/>
              <v:fill focussize="0,0"/>
              <v:stroke/>
              <v:imagedata o:title=""/>
              <o:lock v:ext="edit"/>
            </v:line>
            <v:line id="_x0000_s1153" o:spid="_x0000_s1153" o:spt="20" style="position:absolute;left:6963;top:1457;height:0;width:481;" coordsize="21600,21600">
              <v:path arrowok="t"/>
              <v:fill focussize="0,0"/>
              <v:stroke/>
              <v:imagedata o:title=""/>
              <o:lock v:ext="edit"/>
            </v:line>
            <v:rect id="_x0000_s1154" o:spid="_x0000_s1154" o:spt="1" style="position:absolute;left:7444;top:208;height:416;width:1200;" coordsize="21600,21600">
              <v:path/>
              <v:fill focussize="0,0"/>
              <v:stroke/>
              <v:imagedata o:title=""/>
              <o:lock v:ext="edit"/>
            </v:rect>
            <v:rect id="_x0000_s1155" o:spid="_x0000_s1155" o:spt="1" style="position:absolute;left:7444;top:1249;height:416;width:1200;" coordsize="21600,21600">
              <v:path/>
              <v:fill focussize="0,0"/>
              <v:stroke/>
              <v:imagedata o:title=""/>
              <o:lock v:ext="edit"/>
            </v:rect>
            <v:line id="_x0000_s1156" o:spid="_x0000_s1156" o:spt="20" style="position:absolute;left:8644;top:416;height:0;width:240;" coordsize="21600,21600">
              <v:path arrowok="t"/>
              <v:fill focussize="0,0"/>
              <v:stroke/>
              <v:imagedata o:title=""/>
              <o:lock v:ext="edit"/>
            </v:line>
            <v:line id="_x0000_s1157" o:spid="_x0000_s1157" o:spt="20" style="position:absolute;left:8884;top:416;height:1041;width:0;" coordsize="21600,21600">
              <v:path arrowok="t"/>
              <v:fill focussize="0,0"/>
              <v:stroke/>
              <v:imagedata o:title=""/>
              <o:lock v:ext="edit"/>
            </v:line>
            <v:line id="_x0000_s1158" o:spid="_x0000_s1158" o:spt="20" style="position:absolute;left:8644;top:1457;height:0;width:240;" coordsize="21600,21600">
              <v:path arrowok="t"/>
              <v:fill focussize="0,0"/>
              <v:stroke/>
              <v:imagedata o:title=""/>
              <o:lock v:ext="edit"/>
            </v:line>
            <v:line id="_x0000_s1159" o:spid="_x0000_s1159" o:spt="20" style="position:absolute;left:8884;top:832;height:0;width:241;" coordsize="21600,21600">
              <v:path arrowok="t"/>
              <v:fill focussize="0,0"/>
              <v:stroke/>
              <v:imagedata o:title=""/>
              <o:lock v:ext="edit"/>
            </v:line>
            <v:line id="_x0000_s1160" o:spid="_x0000_s1160" o:spt="20" style="position:absolute;left:9125;top:832;height:1874;width:0;" coordsize="21600,21600">
              <v:path arrowok="t"/>
              <v:fill focussize="0,0"/>
              <v:stroke/>
              <v:imagedata o:title=""/>
              <o:lock v:ext="edit"/>
            </v:line>
            <v:line id="_x0000_s1161" o:spid="_x0000_s1161" o:spt="20" style="position:absolute;left:8884;top:2289;flip:y;height:417;width:0;" coordsize="21600,21600">
              <v:path arrowok="t"/>
              <v:fill focussize="0,0"/>
              <v:stroke/>
              <v:imagedata o:title=""/>
              <o:lock v:ext="edit"/>
            </v:line>
            <v:line id="_x0000_s1162" o:spid="_x0000_s1162" o:spt="20" style="position:absolute;left:8884;top:2706;height:416;width:0;" coordsize="21600,21600">
              <v:path arrowok="t"/>
              <v:fill focussize="0,0"/>
              <v:stroke/>
              <v:imagedata o:title=""/>
              <o:lock v:ext="edit"/>
            </v:line>
            <v:line id="_x0000_s1163" o:spid="_x0000_s1163" o:spt="20" style="position:absolute;left:8644;top:2289;flip:x;height:0;width:240;" coordsize="21600,21600">
              <v:path arrowok="t"/>
              <v:fill focussize="0,0"/>
              <v:stroke/>
              <v:imagedata o:title=""/>
              <o:lock v:ext="edit"/>
            </v:line>
            <v:line id="_x0000_s1164" o:spid="_x0000_s1164" o:spt="20" style="position:absolute;left:8644;top:3122;flip:x;height:0;width:240;" coordsize="21600,21600">
              <v:path arrowok="t"/>
              <v:fill focussize="0,0"/>
              <v:stroke/>
              <v:imagedata o:title=""/>
              <o:lock v:ext="edit"/>
            </v:line>
            <v:rect id="_x0000_s1165" o:spid="_x0000_s1165" o:spt="1" style="position:absolute;left:7444;top:2185;height:417;width:1200;" coordsize="21600,21600">
              <v:path/>
              <v:fill focussize="0,0"/>
              <v:stroke/>
              <v:imagedata o:title=""/>
              <o:lock v:ext="edit"/>
            </v:rect>
            <v:rect id="_x0000_s1166" o:spid="_x0000_s1166" o:spt="1" style="position:absolute;left:7444;top:2914;height:416;width:1200;" coordsize="21600,21600">
              <v:path/>
              <v:fill focussize="0,0"/>
              <v:stroke/>
              <v:imagedata o:title=""/>
              <o:lock v:ext="edit"/>
            </v:rect>
            <v:line id="_x0000_s1167" o:spid="_x0000_s1167" o:spt="20" style="position:absolute;left:7084;top:2393;flip:x;height:0;width:360;" coordsize="21600,21600">
              <v:path arrowok="t"/>
              <v:fill focussize="0,0"/>
              <v:stroke/>
              <v:imagedata o:title=""/>
              <o:lock v:ext="edit"/>
            </v:line>
            <v:line id="_x0000_s1168" o:spid="_x0000_s1168" o:spt="20" style="position:absolute;left:7084;top:2393;height:625;width:0;" coordsize="21600,21600">
              <v:path arrowok="t"/>
              <v:fill focussize="0,0"/>
              <v:stroke/>
              <v:imagedata o:title=""/>
              <o:lock v:ext="edit"/>
            </v:line>
            <v:line id="_x0000_s1169" o:spid="_x0000_s1169" o:spt="20" style="position:absolute;left:7084;top:3122;height:0;width:360;" coordsize="21600,21600">
              <v:path arrowok="t"/>
              <v:fill focussize="0,0"/>
              <v:stroke/>
              <v:imagedata o:title=""/>
              <o:lock v:ext="edit"/>
            </v:line>
            <v:rect id="_x0000_s1170" o:spid="_x0000_s1170" o:spt="1" style="position:absolute;left:5642;top:2602;height:416;width:1081;" coordsize="21600,21600">
              <v:path/>
              <v:fill focussize="0,0"/>
              <v:stroke/>
              <v:imagedata o:title=""/>
              <o:lock v:ext="edit"/>
            </v:rect>
            <v:line id="_x0000_s1171" o:spid="_x0000_s1171" o:spt="20" style="position:absolute;left:6723;top:937;height:0;width:240;" coordsize="21600,21600">
              <v:path arrowok="t"/>
              <v:fill focussize="0,0"/>
              <v:stroke endarrow="block"/>
              <v:imagedata o:title=""/>
              <o:lock v:ext="edit"/>
            </v:line>
            <v:line id="_x0000_s1172" o:spid="_x0000_s1172" o:spt="20" style="position:absolute;left:8884;top:2706;flip:x;height:0;width:241;" coordsize="21600,21600">
              <v:path arrowok="t"/>
              <v:fill focussize="0,0"/>
              <v:stroke endarrow="block"/>
              <v:imagedata o:title=""/>
              <o:lock v:ext="edit"/>
            </v:line>
            <v:line id="_x0000_s1173" o:spid="_x0000_s1173" o:spt="20" style="position:absolute;left:6723;top:2810;flip:x;height:0;width:361;" coordsize="21600,21600">
              <v:path arrowok="t"/>
              <v:fill focussize="0,0"/>
              <v:stroke endarrow="block"/>
              <v:imagedata o:title=""/>
              <o:lock v:ext="edit"/>
            </v:line>
            <v:line id="_x0000_s1174" o:spid="_x0000_s1174" o:spt="20" style="position:absolute;left:5402;top:2810;flip:x;height:0;width:240;" coordsize="21600,21600">
              <v:path arrowok="t"/>
              <v:fill focussize="0,0"/>
              <v:stroke endarrow="block"/>
              <v:imagedata o:title=""/>
              <o:lock v:ext="edit"/>
            </v:line>
            <v:rect id="_x0000_s1175" o:spid="_x0000_s1175" o:spt="1" style="position:absolute;left:4442;top:2602;height:416;width:960;" coordsize="21600,21600">
              <v:path/>
              <v:fill focussize="0,0"/>
              <v:stroke/>
              <v:imagedata o:title=""/>
              <o:lock v:ext="edit"/>
            </v:rect>
            <v:line id="_x0000_s1176" o:spid="_x0000_s1176" o:spt="20" style="position:absolute;left:4082;top:2810;flip:x;height:1;width:359;" coordsize="21600,21600">
              <v:path arrowok="t"/>
              <v:fill focussize="0,0"/>
              <v:stroke endarrow="block"/>
              <v:imagedata o:title=""/>
              <o:lock v:ext="edit"/>
            </v:line>
            <v:rect id="_x0000_s1177" o:spid="_x0000_s1177" o:spt="1" style="position:absolute;left:3002;top:2602;height:416;width:1080;" coordsize="21600,21600">
              <v:path/>
              <v:fill focussize="0,0"/>
              <v:stroke/>
              <v:imagedata o:title=""/>
              <o:lock v:ext="edit"/>
            </v:rect>
            <v:line id="_x0000_s1178" o:spid="_x0000_s1178" o:spt="20" style="position:absolute;left:2641;top:2810;flip:x;height:0;width:361;" coordsize="21600,21600">
              <v:path arrowok="t"/>
              <v:fill focussize="0,0"/>
              <v:stroke endarrow="block"/>
              <v:imagedata o:title=""/>
              <o:lock v:ext="edit"/>
            </v:line>
            <v:rect id="_x0000_s1179" o:spid="_x0000_s1179" o:spt="1" style="position:absolute;left:1561;top:2602;height:416;width:1080;" coordsize="21600,21600">
              <v:path/>
              <v:fill focussize="0,0"/>
              <v:stroke/>
              <v:imagedata o:title=""/>
              <o:lock v:ext="edit"/>
            </v:rect>
            <v:line id="_x0000_s1180" o:spid="_x0000_s1180" o:spt="20" style="position:absolute;left:1080;top:2810;flip:x;height:0;width:480;" coordsize="21600,21600">
              <v:path arrowok="t"/>
              <v:fill focussize="0,0"/>
              <v:stroke endarrow="block"/>
              <v:imagedata o:title=""/>
              <o:lock v:ext="edit"/>
            </v:line>
            <v:rect id="_x0000_s1181" o:spid="_x0000_s1181" o:spt="1" style="position:absolute;left:0;top:2602;height:416;width:1080;" coordsize="21600,21600">
              <v:path/>
              <v:fill focussize="0,0"/>
              <v:stroke/>
              <v:imagedata o:title=""/>
              <o:lock v:ext="edit"/>
            </v:rect>
            <v:line id="_x0000_s1182" o:spid="_x0000_s1182" o:spt="20" style="position:absolute;left:480;top:3018;height:1040;width:0;" coordsize="21600,21600">
              <v:path arrowok="t"/>
              <v:fill focussize="0,0"/>
              <v:stroke/>
              <v:imagedata o:title=""/>
              <o:lock v:ext="edit"/>
            </v:line>
            <v:line id="_x0000_s1183" o:spid="_x0000_s1183" o:spt="20" style="position:absolute;left:480;top:4058;height:0;width:600;" coordsize="21600,21600">
              <v:path arrowok="t"/>
              <v:fill focussize="0,0"/>
              <v:stroke endarrow="block"/>
              <v:imagedata o:title=""/>
              <o:lock v:ext="edit"/>
            </v:line>
            <v:rect id="_x0000_s1184" o:spid="_x0000_s1184" o:spt="1" style="position:absolute;left:1081;top:3850;height:417;width:1200;" coordsize="21600,21600">
              <v:path/>
              <v:fill focussize="0,0"/>
              <v:stroke/>
              <v:imagedata o:title=""/>
              <o:lock v:ext="edit"/>
            </v:rect>
            <v:line id="_x0000_s1185" o:spid="_x0000_s1185" o:spt="20" style="position:absolute;left:2281;top:4058;height:0;width:481;" coordsize="21600,21600">
              <v:path arrowok="t"/>
              <v:fill focussize="0,0"/>
              <v:stroke endarrow="block"/>
              <v:imagedata o:title=""/>
              <o:lock v:ext="edit"/>
            </v:line>
            <v:rect id="_x0000_s1186" o:spid="_x0000_s1186" o:spt="1" style="position:absolute;left:2762;top:3850;height:417;width:1200;" coordsize="21600,21600">
              <v:path/>
              <v:fill focussize="0,0"/>
              <v:stroke/>
              <v:imagedata o:title=""/>
              <o:lock v:ext="edit"/>
            </v:rect>
            <v:line id="_x0000_s1187" o:spid="_x0000_s1187" o:spt="20" style="position:absolute;left:1321;top:937;height:0;width:479;" coordsize="21600,21600">
              <v:path arrowok="t"/>
              <v:fill focussize="0,0"/>
              <v:stroke/>
              <v:imagedata o:title=""/>
              <o:lock v:ext="edit"/>
            </v:line>
            <v:shape id="_x0000_s1188" o:spid="_x0000_s1188" o:spt="136" type="#_x0000_t136" style="position:absolute;left:240;top:208;height:161;width:639;" coordsize="21600,21600">
              <v:path/>
              <v:fill focussize="0,0"/>
              <v:stroke/>
              <v:imagedata o:title=""/>
              <o:lock v:ext="edit" text="f"/>
              <v:textpath on="t" fitshape="t" fitpath="t" trim="t" xscale="f" string="设备的调试" style="font-family:宋体;font-size:12pt;v-text-align:center;"/>
            </v:shape>
            <v:shape id="_x0000_s1189" o:spid="_x0000_s1189" o:spt="136" type="#_x0000_t136" style="position:absolute;left:240;top:832;height:160;width:800;" coordsize="21600,21600">
              <v:path/>
              <v:fill focussize="0,0"/>
              <v:stroke/>
              <v:imagedata o:title=""/>
              <o:lock v:ext="edit" text="f"/>
              <v:textpath on="t" fitshape="t" fitpath="t" trim="t" xscale="f" string="模具的安装" style="font-family:宋体;font-size:12pt;v-text-align:center;"/>
            </v:shape>
            <v:rect id="_x0000_s1190" o:spid="_x0000_s1190" o:spt="1" style="position:absolute;left:0;top:1353;height:416;width:1320;" coordsize="21600,21600">
              <v:path/>
              <v:fill focussize="0,0"/>
              <v:stroke/>
              <v:imagedata o:title=""/>
              <o:lock v:ext="edit"/>
            </v:rect>
            <v:shape id="_x0000_s1191" o:spid="_x0000_s1191" o:spt="136" type="#_x0000_t136" style="position:absolute;left:119;top:1457;height:159;width:958;" coordsize="21600,21600">
              <v:path/>
              <v:fill focussize="0,0"/>
              <v:stroke/>
              <v:imagedata o:title=""/>
              <o:lock v:ext="edit" text="f"/>
              <v:textpath on="t" fitshape="t" fitpath="t" trim="t" xscale="f" string="原材料的准备" style="font-family:宋体;font-size:12pt;v-text-align:center;"/>
            </v:shape>
            <v:shape id="_x0000_s1192" o:spid="_x0000_s1192" o:spt="136" type="#_x0000_t136" style="position:absolute;left:2519;top:815;height:159;width:801;" coordsize="21600,21600">
              <v:path/>
              <v:fill focussize="0,0"/>
              <v:stroke/>
              <v:imagedata o:title=""/>
              <o:lock v:ext="edit" text="f"/>
              <v:textpath on="t" fitshape="t" fitpath="t" trim="t" xscale="f" string="内衬的制作" style="font-family:宋体;font-size:12pt;v-text-align:center;"/>
            </v:shape>
            <v:shape id="_x0000_s1193" o:spid="_x0000_s1193" o:spt="136" type="#_x0000_t136" style="position:absolute;left:5762;top:832;height:160;width:801;" coordsize="21600,21600">
              <v:path/>
              <v:fill focussize="0,0"/>
              <v:stroke/>
              <v:imagedata o:title=""/>
              <o:lock v:ext="edit" text="f"/>
              <v:textpath on="t" fitshape="t" fitpath="t" trim="t" xscale="f" string="固化后打磨" style="font-family:宋体;font-size:12pt;v-text-align:center;"/>
            </v:shape>
            <v:shape id="_x0000_s1194" o:spid="_x0000_s1194" o:spt="136" type="#_x0000_t136" style="position:absolute;left:7444;top:312;height:159;width:1119;" coordsize="21600,21600">
              <v:path/>
              <v:fill focussize="0,0"/>
              <v:stroke/>
              <v:imagedata o:title=""/>
              <o:lock v:ext="edit" text="f"/>
              <v:textpath on="t" fitshape="t" fitpath="t" trim="t" xscale="f" string="缠绕设备的准备" style="font-family:宋体;font-size:12pt;v-text-align:center;"/>
            </v:shape>
            <v:shape id="_x0000_s1195" o:spid="_x0000_s1195" o:spt="136" type="#_x0000_t136" style="position:absolute;left:7563;top:1353;height:160;width:961;" coordsize="21600,21600">
              <v:path/>
              <v:fill focussize="0,0"/>
              <v:stroke/>
              <v:imagedata o:title=""/>
              <o:lock v:ext="edit" text="f"/>
              <v:textpath on="t" fitshape="t" fitpath="t" trim="t" xscale="f" string="原材料的准备" style="font-family:宋体;font-size:12pt;v-text-align:center;"/>
            </v:shape>
            <v:shape id="_x0000_s1196" o:spid="_x0000_s1196" o:spt="136" type="#_x0000_t136" style="position:absolute;left:7444;top:2289;height:160;width:1119;" coordsize="21600,21600">
              <v:path/>
              <v:fill focussize="0,0"/>
              <v:stroke/>
              <v:imagedata o:title=""/>
              <o:lock v:ext="edit" text="f"/>
              <v:textpath on="t" fitshape="t" fitpath="t" trim="t" xscale="f" string="内缠绕层的制作" style="font-family:宋体;font-size:12pt;v-text-align:center;"/>
            </v:shape>
            <v:shape id="_x0000_s1197" o:spid="_x0000_s1197" o:spt="136" type="#_x0000_t136" style="position:absolute;left:7444;top:3018;height:159;width:1119;" coordsize="21600,21600">
              <v:path/>
              <v:fill focussize="0,0"/>
              <v:stroke/>
              <v:imagedata o:title=""/>
              <o:lock v:ext="edit" text="f"/>
              <v:textpath on="t" fitshape="t" fitpath="t" trim="t" xscale="f" string="外缠绕层的制作" style="font-family:宋体;font-size:12pt;v-text-align:center;"/>
            </v:shape>
            <v:shape id="_x0000_s1198" o:spid="_x0000_s1198" o:spt="136" type="#_x0000_t136" style="position:absolute;left:6003;top:2706;height:159;width:321;" coordsize="21600,21600">
              <v:path/>
              <v:fill focussize="0,0"/>
              <v:stroke/>
              <v:imagedata o:title=""/>
              <o:lock v:ext="edit" text="f"/>
              <v:textpath on="t" fitshape="t" fitpath="t" trim="t" xscale="f" string="固化" style="font-family:宋体;font-size:12pt;v-text-align:center;"/>
            </v:shape>
            <v:shape id="_x0000_s1199" o:spid="_x0000_s1199" o:spt="136" type="#_x0000_t136" style="position:absolute;left:4562;top:2706;height:159;width:800;" coordsize="21600,21600">
              <v:path/>
              <v:fill focussize="0,0"/>
              <v:stroke/>
              <v:imagedata o:title=""/>
              <o:lock v:ext="edit" text="f"/>
              <v:textpath on="t" fitshape="t" fitpath="t" trim="t" xscale="f" string="安装加强筋" style="font-family:宋体;font-size:12pt;v-text-align:center;"/>
            </v:shape>
            <v:shape id="_x0000_s1200" o:spid="_x0000_s1200" o:spt="136" type="#_x0000_t136" style="position:absolute;left:3241;top:2706;height:159;width:640;" coordsize="21600,21600">
              <v:path/>
              <v:fill focussize="0,0"/>
              <v:stroke/>
              <v:imagedata o:title=""/>
              <o:lock v:ext="edit" text="f"/>
              <v:textpath on="t" fitshape="t" fitpath="t" trim="t" xscale="f" string="打磨修整" style="font-family:宋体;font-size:12pt;v-text-align:center;"/>
            </v:shape>
            <v:shape id="_x0000_s1201" o:spid="_x0000_s1201" o:spt="136" type="#_x0000_t136" style="position:absolute;left:1921;top:2706;height:159;width:317;" coordsize="21600,21600">
              <v:path/>
              <v:fill focussize="0,0"/>
              <v:stroke/>
              <v:imagedata o:title=""/>
              <o:lock v:ext="edit" text="f"/>
              <v:textpath on="t" fitshape="t" fitpath="t" trim="t" xscale="f" string="脱模" style="font-family:宋体;font-size:12pt;v-text-align:center;"/>
            </v:shape>
            <v:shape id="_x0000_s1202" o:spid="_x0000_s1202" o:spt="136" type="#_x0000_t136" style="position:absolute;left:240;top:2706;height:159;width:639;" coordsize="21600,21600">
              <v:path/>
              <v:fill focussize="0,0"/>
              <v:stroke/>
              <v:imagedata o:title=""/>
              <o:lock v:ext="edit" text="f"/>
              <v:textpath on="t" fitshape="t" fitpath="t" trim="t" xscale="f" string="排烟囱下机" style="font-family:宋体;font-size:12pt;v-text-align:center;"/>
            </v:shape>
            <v:shape id="_x0000_s1203" o:spid="_x0000_s1203" o:spt="136" type="#_x0000_t136" style="position:absolute;left:1079;top:3954;height:160;width:1122;" coordsize="21600,21600">
              <v:path/>
              <v:fill focussize="0,0"/>
              <v:stroke/>
              <v:imagedata o:title=""/>
              <o:lock v:ext="edit" text="f"/>
              <v:textpath on="t" fitshape="t" fitpath="t" trim="t" xscale="f" string="排烟囱的切割修整" style="font-family:宋体;font-size:12pt;v-text-align:center;"/>
            </v:shape>
            <v:shape id="_x0000_s1204" o:spid="_x0000_s1204" o:spt="136" type="#_x0000_t136" style="position:absolute;left:2790;top:3957;height:168;width:1184;" coordsize="21600,21600">
              <v:path/>
              <v:fill focussize="0,0"/>
              <v:stroke/>
              <v:imagedata o:title=""/>
              <o:lock v:ext="edit" text="f"/>
              <v:textpath on="t" fitshape="t" fitpath="t" trim="t" xscale="f" string="检验合格后入库" style="font-family:宋体;font-size:12pt;v-text-align:center;"/>
            </v:shape>
            <v:line id="_x0000_s1205" o:spid="_x0000_s1205" o:spt="20" style="position:absolute;left:2520;top:4058;flip:y;height:417;width:0;" coordsize="21600,21600">
              <v:path arrowok="t"/>
              <v:fill focussize="0,0"/>
              <v:stroke endarrow="block"/>
              <v:imagedata o:title=""/>
              <o:lock v:ext="edit"/>
            </v:line>
            <v:rect id="_x0000_s1206" o:spid="_x0000_s1206" o:spt="1" style="position:absolute;left:1921;top:4475;height:416;width:1200;" coordsize="21600,21600">
              <v:path/>
              <v:fill focussize="0,0"/>
              <v:stroke/>
              <v:imagedata o:title=""/>
              <o:lock v:ext="edit"/>
            </v:rect>
            <v:shape id="_x0000_s1207" o:spid="_x0000_s1207" o:spt="136" type="#_x0000_t136" style="position:absolute;left:2160;top:4579;height:159;width:641;" coordsize="21600,21600">
              <v:path/>
              <v:fill focussize="0,0"/>
              <v:stroke/>
              <v:imagedata o:title=""/>
              <o:lock v:ext="edit" text="f"/>
              <v:textpath on="t" fitshape="t" fitpath="t" trim="t" xscale="f" string="最终检验" style="font-family:宋体;font-size:12pt;v-text-align:center;"/>
            </v:shape>
            <v:shape id="_x0000_s1208" o:spid="_x0000_s1208" o:spt="136" type="#_x0000_t136" style="position:absolute;left:5162;top:3434;height:159;width:640;" coordsize="21600,21600">
              <v:path/>
              <v:fill focussize="0,0"/>
              <v:stroke/>
              <v:imagedata o:title=""/>
              <o:lock v:ext="edit" text="f"/>
              <v:textpath on="t" fitshape="t" fitpath="t" trim="t" xscale="f" string="过程检验" style="font-family:宋体;font-size:12pt;v-text-align:center;"/>
            </v:shape>
            <v:line id="_x0000_s1209" o:spid="_x0000_s1209" o:spt="20" style="position:absolute;left:5402;top:937;flip:y;height:416;width:0;" coordsize="21600,21600">
              <v:path arrowok="t"/>
              <v:fill focussize="0,0"/>
              <v:stroke endarrow="block"/>
              <v:imagedata o:title=""/>
              <o:lock v:ext="edit"/>
            </v:line>
            <v:shape id="_x0000_s1210" o:spid="_x0000_s1210" o:spt="136" type="#_x0000_t136" style="position:absolute;left:5042;top:1457;height:159;width:640;" coordsize="21600,21600">
              <v:path/>
              <v:fill focussize="0,0"/>
              <v:stroke/>
              <v:imagedata o:title=""/>
              <o:lock v:ext="edit" text="f"/>
              <v:textpath on="t" fitshape="t" fitpath="t" trim="t" xscale="f" string="过程检验" style="font-family:宋体;font-size:12pt;v-text-align:center;"/>
            </v:shape>
            <w10:wrap type="none"/>
            <w10:anchorlock/>
          </v:group>
        </w:pict>
      </w: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bookmarkStart w:id="39" w:name="_Toc353625141"/>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FRP 烟囱内筒的制作过程</w:t>
      </w:r>
      <w:bookmarkEnd w:id="3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第一步：标准化厂房搭建，设备、模具准备；</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第二步：制作内衬层；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第三步：制作结构层；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第四步：制作加强筋；</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第五步：外表面层的制作；</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第六步：脱模，后固化；</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移动厂房搭建</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0">
            <wp:simplePos x="0" y="0"/>
            <wp:positionH relativeFrom="column">
              <wp:posOffset>3105150</wp:posOffset>
            </wp:positionH>
            <wp:positionV relativeFrom="paragraph">
              <wp:posOffset>173990</wp:posOffset>
            </wp:positionV>
            <wp:extent cx="2601595" cy="1744345"/>
            <wp:effectExtent l="0" t="0" r="1905" b="8255"/>
            <wp:wrapNone/>
            <wp:docPr id="5" name="图片 2" descr="Z%)]EM3N4ACN5)JFV)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Z%)]EM3N4ACN5)JFV)3N)@O"/>
                    <pic:cNvPicPr>
                      <a:picLocks noChangeAspect="1"/>
                    </pic:cNvPicPr>
                  </pic:nvPicPr>
                  <pic:blipFill>
                    <a:blip r:embed="rId35"/>
                    <a:srcRect l="21233"/>
                    <a:stretch>
                      <a:fillRect/>
                    </a:stretch>
                  </pic:blipFill>
                  <pic:spPr>
                    <a:xfrm>
                      <a:off x="0" y="0"/>
                      <a:ext cx="2601595" cy="1744345"/>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0">
            <wp:simplePos x="0" y="0"/>
            <wp:positionH relativeFrom="column">
              <wp:posOffset>43180</wp:posOffset>
            </wp:positionH>
            <wp:positionV relativeFrom="paragraph">
              <wp:posOffset>173990</wp:posOffset>
            </wp:positionV>
            <wp:extent cx="3055620" cy="1744345"/>
            <wp:effectExtent l="0" t="0" r="5080" b="8255"/>
            <wp:wrapNone/>
            <wp:docPr id="4" name="图片 1" descr="TentFrame at D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TentFrame at DGC"/>
                    <pic:cNvPicPr>
                      <a:picLocks noChangeAspect="1"/>
                    </pic:cNvPicPr>
                  </pic:nvPicPr>
                  <pic:blipFill>
                    <a:blip r:embed="rId36"/>
                    <a:stretch>
                      <a:fillRect/>
                    </a:stretch>
                  </pic:blipFill>
                  <pic:spPr>
                    <a:xfrm>
                      <a:off x="0" y="0"/>
                      <a:ext cx="3055620" cy="174434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设备准备</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664210</wp:posOffset>
            </wp:positionH>
            <wp:positionV relativeFrom="paragraph">
              <wp:posOffset>115570</wp:posOffset>
            </wp:positionV>
            <wp:extent cx="4166235" cy="3379470"/>
            <wp:effectExtent l="0" t="0" r="12065" b="11430"/>
            <wp:wrapNone/>
            <wp:docPr id="8" name="图片 1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1" descr="5"/>
                    <pic:cNvPicPr>
                      <a:picLocks noChangeAspect="1"/>
                    </pic:cNvPicPr>
                  </pic:nvPicPr>
                  <pic:blipFill>
                    <a:blip r:embed="rId37"/>
                    <a:srcRect r="3430"/>
                    <a:stretch>
                      <a:fillRect/>
                    </a:stretch>
                  </pic:blipFill>
                  <pic:spPr>
                    <a:xfrm>
                      <a:off x="0" y="0"/>
                      <a:ext cx="4166235" cy="337947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模具准备</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7456" behindDoc="0" locked="0" layoutInCell="1" allowOverlap="1">
            <wp:simplePos x="0" y="0"/>
            <wp:positionH relativeFrom="column">
              <wp:posOffset>664210</wp:posOffset>
            </wp:positionH>
            <wp:positionV relativeFrom="paragraph">
              <wp:posOffset>120650</wp:posOffset>
            </wp:positionV>
            <wp:extent cx="4166235" cy="3374390"/>
            <wp:effectExtent l="0" t="0" r="12065" b="3810"/>
            <wp:wrapNone/>
            <wp:docPr id="9" name="图片 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8.JPG"/>
                    <pic:cNvPicPr>
                      <a:picLocks noChangeAspect="1"/>
                    </pic:cNvPicPr>
                  </pic:nvPicPr>
                  <pic:blipFill>
                    <a:blip r:embed="rId38"/>
                    <a:srcRect r="3430"/>
                    <a:stretch>
                      <a:fillRect/>
                    </a:stretch>
                  </pic:blipFill>
                  <pic:spPr>
                    <a:xfrm>
                      <a:off x="0" y="0"/>
                      <a:ext cx="4166235" cy="337439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内衬层制作</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671195</wp:posOffset>
            </wp:positionH>
            <wp:positionV relativeFrom="paragraph">
              <wp:posOffset>100965</wp:posOffset>
            </wp:positionV>
            <wp:extent cx="4140835" cy="3385185"/>
            <wp:effectExtent l="0" t="0" r="12065" b="5715"/>
            <wp:wrapNone/>
            <wp:docPr id="7" name="图片 190" descr="VTS_01_1_201347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0" descr="VTS_01_1_20134710634"/>
                    <pic:cNvPicPr>
                      <a:picLocks noChangeAspect="1"/>
                    </pic:cNvPicPr>
                  </pic:nvPicPr>
                  <pic:blipFill>
                    <a:blip r:embed="rId39"/>
                    <a:srcRect l="4118" r="3987"/>
                    <a:stretch>
                      <a:fillRect/>
                    </a:stretch>
                  </pic:blipFill>
                  <pic:spPr>
                    <a:xfrm>
                      <a:off x="0" y="0"/>
                      <a:ext cx="4140835" cy="338518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结构层制作</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4864" behindDoc="0" locked="0" layoutInCell="1" allowOverlap="1">
            <wp:simplePos x="0" y="0"/>
            <wp:positionH relativeFrom="column">
              <wp:posOffset>453390</wp:posOffset>
            </wp:positionH>
            <wp:positionV relativeFrom="paragraph">
              <wp:posOffset>92075</wp:posOffset>
            </wp:positionV>
            <wp:extent cx="4064635" cy="3314700"/>
            <wp:effectExtent l="0" t="0" r="12065" b="0"/>
            <wp:wrapNone/>
            <wp:docPr id="26" name="图片 254" descr="VTS_01_1_2013471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4" descr="VTS_01_1_201347101039"/>
                    <pic:cNvPicPr>
                      <a:picLocks noChangeAspect="1"/>
                    </pic:cNvPicPr>
                  </pic:nvPicPr>
                  <pic:blipFill>
                    <a:blip r:embed="rId40"/>
                    <a:srcRect l="3917" r="3917"/>
                    <a:stretch>
                      <a:fillRect/>
                    </a:stretch>
                  </pic:blipFill>
                  <pic:spPr>
                    <a:xfrm>
                      <a:off x="0" y="0"/>
                      <a:ext cx="4064635" cy="331470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加强筋制作</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427990</wp:posOffset>
            </wp:positionH>
            <wp:positionV relativeFrom="paragraph">
              <wp:posOffset>33655</wp:posOffset>
            </wp:positionV>
            <wp:extent cx="4247515" cy="3452495"/>
            <wp:effectExtent l="0" t="0" r="6985" b="1905"/>
            <wp:wrapNone/>
            <wp:docPr id="6" name="图片 189" descr="VTS_01_1_201347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9" descr="VTS_01_1_20134710100"/>
                    <pic:cNvPicPr>
                      <a:picLocks noChangeAspect="1"/>
                    </pic:cNvPicPr>
                  </pic:nvPicPr>
                  <pic:blipFill>
                    <a:blip r:embed="rId41"/>
                    <a:srcRect l="4173" r="3400"/>
                    <a:stretch>
                      <a:fillRect/>
                    </a:stretch>
                  </pic:blipFill>
                  <pic:spPr>
                    <a:xfrm>
                      <a:off x="0" y="0"/>
                      <a:ext cx="4247515" cy="345249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外保护层制作</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748665</wp:posOffset>
            </wp:positionH>
            <wp:positionV relativeFrom="paragraph">
              <wp:posOffset>-3810</wp:posOffset>
            </wp:positionV>
            <wp:extent cx="4247515" cy="3453130"/>
            <wp:effectExtent l="0" t="0" r="6985" b="1270"/>
            <wp:wrapNone/>
            <wp:docPr id="10" name="图片 193" descr="VTS_01_1_20134710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3" descr="VTS_01_1_201347101438"/>
                    <pic:cNvPicPr>
                      <a:picLocks noChangeAspect="1"/>
                    </pic:cNvPicPr>
                  </pic:nvPicPr>
                  <pic:blipFill>
                    <a:blip r:embed="rId42"/>
                    <a:srcRect l="4173" r="3400"/>
                    <a:stretch>
                      <a:fillRect/>
                    </a:stretch>
                  </pic:blipFill>
                  <pic:spPr>
                    <a:xfrm>
                      <a:off x="0" y="0"/>
                      <a:ext cx="4247515" cy="345313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脱模</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9504" behindDoc="0" locked="0" layoutInCell="1" allowOverlap="1">
            <wp:simplePos x="0" y="0"/>
            <wp:positionH relativeFrom="column">
              <wp:posOffset>594995</wp:posOffset>
            </wp:positionH>
            <wp:positionV relativeFrom="paragraph">
              <wp:posOffset>63500</wp:posOffset>
            </wp:positionV>
            <wp:extent cx="4210050" cy="3393440"/>
            <wp:effectExtent l="0" t="0" r="6350" b="10160"/>
            <wp:wrapNone/>
            <wp:docPr id="11" name="图片 19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4" descr="27"/>
                    <pic:cNvPicPr>
                      <a:picLocks noChangeAspect="1"/>
                    </pic:cNvPicPr>
                  </pic:nvPicPr>
                  <pic:blipFill>
                    <a:blip r:embed="rId43"/>
                    <a:srcRect r="2899"/>
                    <a:stretch>
                      <a:fillRect/>
                    </a:stretch>
                  </pic:blipFill>
                  <pic:spPr>
                    <a:xfrm>
                      <a:off x="0" y="0"/>
                      <a:ext cx="4210050" cy="339344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bookmarkStart w:id="40" w:name="_Toc353625142"/>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制作过程的实时质量控制</w:t>
      </w:r>
      <w:bookmarkEnd w:id="40"/>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每次开始制作之前，都要凝胶实验，保证原材料的配比达到当下环境的最佳</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值。</w:t>
      </w:r>
    </w:p>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原材料的配比实验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精确称量</w:t>
      </w:r>
      <w:r>
        <w:rPr>
          <w:rFonts w:hint="eastAsia" w:asciiTheme="minorEastAsia" w:hAnsiTheme="minorEastAsia" w:eastAsiaTheme="minorEastAsia" w:cstheme="minorEastAsia"/>
          <w:sz w:val="24"/>
          <w:szCs w:val="24"/>
          <w:lang w:eastAsia="zh-CN"/>
        </w:rPr>
        <w:t>)</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5888" behindDoc="0" locked="0" layoutInCell="1" allowOverlap="1">
            <wp:simplePos x="0" y="0"/>
            <wp:positionH relativeFrom="column">
              <wp:posOffset>594995</wp:posOffset>
            </wp:positionH>
            <wp:positionV relativeFrom="paragraph">
              <wp:posOffset>157480</wp:posOffset>
            </wp:positionV>
            <wp:extent cx="4035425" cy="2750185"/>
            <wp:effectExtent l="0" t="0" r="3175" b="5715"/>
            <wp:wrapNone/>
            <wp:docPr id="27"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5"/>
                    <pic:cNvPicPr>
                      <a:picLocks noChangeAspect="1"/>
                    </pic:cNvPicPr>
                  </pic:nvPicPr>
                  <pic:blipFill>
                    <a:blip r:embed="rId44"/>
                    <a:srcRect r="2426"/>
                    <a:stretch>
                      <a:fillRect/>
                    </a:stretch>
                  </pic:blipFill>
                  <pic:spPr>
                    <a:xfrm>
                      <a:off x="0" y="0"/>
                      <a:ext cx="4035425" cy="275018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凝胶实验</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6912" behindDoc="0" locked="0" layoutInCell="1" allowOverlap="1">
            <wp:simplePos x="0" y="0"/>
            <wp:positionH relativeFrom="column">
              <wp:posOffset>434340</wp:posOffset>
            </wp:positionH>
            <wp:positionV relativeFrom="paragraph">
              <wp:posOffset>114935</wp:posOffset>
            </wp:positionV>
            <wp:extent cx="4385945" cy="2941955"/>
            <wp:effectExtent l="0" t="0" r="8255" b="4445"/>
            <wp:wrapNone/>
            <wp:docPr id="28"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6"/>
                    <pic:cNvPicPr>
                      <a:picLocks noChangeAspect="1"/>
                    </pic:cNvPicPr>
                  </pic:nvPicPr>
                  <pic:blipFill>
                    <a:blip r:embed="rId45"/>
                    <a:stretch>
                      <a:fillRect/>
                    </a:stretch>
                  </pic:blipFill>
                  <pic:spPr>
                    <a:xfrm>
                      <a:off x="0" y="0"/>
                      <a:ext cx="4385945" cy="294195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为了保证制品的力学性能，在每次缠绕操作开始之前，都要对缠绕纱线进行</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张力调整和控制</w:t>
      </w:r>
      <w:r>
        <w:rPr>
          <w:rFonts w:hint="eastAsia" w:asciiTheme="minorEastAsia" w:hAnsiTheme="minorEastAsia" w:eastAsiaTheme="minorEastAsia" w:cstheme="minorEastAsia"/>
          <w:sz w:val="24"/>
          <w:szCs w:val="24"/>
          <w:lang w:val="en-US" w:eastAsia="zh-CN"/>
        </w:rPr>
        <w:t>.</w:t>
      </w:r>
    </w:p>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调整缠绕纱的张力</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1792" behindDoc="0" locked="0" layoutInCell="1" allowOverlap="1">
            <wp:simplePos x="0" y="0"/>
            <wp:positionH relativeFrom="column">
              <wp:posOffset>698500</wp:posOffset>
            </wp:positionH>
            <wp:positionV relativeFrom="paragraph">
              <wp:posOffset>217805</wp:posOffset>
            </wp:positionV>
            <wp:extent cx="3937635" cy="3282315"/>
            <wp:effectExtent l="0" t="0" r="12065" b="6985"/>
            <wp:wrapNone/>
            <wp:docPr id="23" name="图片 226" descr="VTS_01_1_2013316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6" descr="VTS_01_1_201331622538"/>
                    <pic:cNvPicPr>
                      <a:picLocks noChangeAspect="1"/>
                    </pic:cNvPicPr>
                  </pic:nvPicPr>
                  <pic:blipFill>
                    <a:blip r:embed="rId46"/>
                    <a:srcRect l="4123" r="5850"/>
                    <a:stretch>
                      <a:fillRect/>
                    </a:stretch>
                  </pic:blipFill>
                  <pic:spPr>
                    <a:xfrm>
                      <a:off x="0" y="0"/>
                      <a:ext cx="3937635" cy="328231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实时检验控制质量</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87936" behindDoc="0" locked="0" layoutInCell="1" allowOverlap="1">
            <wp:simplePos x="0" y="0"/>
            <wp:positionH relativeFrom="column">
              <wp:posOffset>624205</wp:posOffset>
            </wp:positionH>
            <wp:positionV relativeFrom="paragraph">
              <wp:posOffset>216535</wp:posOffset>
            </wp:positionV>
            <wp:extent cx="4189095" cy="3407410"/>
            <wp:effectExtent l="0" t="0" r="1905" b="8890"/>
            <wp:wrapNone/>
            <wp:docPr id="29" name="图片 257" descr="VTS_01_1_2013316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7" descr="VTS_01_1_201331622743"/>
                    <pic:cNvPicPr>
                      <a:picLocks noChangeAspect="1"/>
                    </pic:cNvPicPr>
                  </pic:nvPicPr>
                  <pic:blipFill>
                    <a:blip r:embed="rId47"/>
                    <a:srcRect l="3551" r="4248"/>
                    <a:stretch>
                      <a:fillRect/>
                    </a:stretch>
                  </pic:blipFill>
                  <pic:spPr>
                    <a:xfrm>
                      <a:off x="0" y="0"/>
                      <a:ext cx="4189095" cy="3407410"/>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bookmarkStart w:id="41" w:name="_Toc353625143"/>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烟囱制作技术要求</w:t>
      </w:r>
      <w:bookmarkEnd w:id="41"/>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11.1直径允差：±10mm。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厚度允差：T﹢3mm，－0.0mm。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不圆度允差：8000mm±10mm。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重量允差：不低于设计重量的95％。</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烟囱玻璃钢排烟内筒体系吊装安装前后的垂直度允差：0.025H%</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H为排烟内筒的有效长度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内表面应平整光洁、无杂质、无纤维外露。无对使用性能有影响的裂纹、无明显划痕、疵点、白化及分层。不得有直径大于3mm、深或高大于3mm的凸凹，无直径大于10mm的气泡，1平方分米范围内气泡不得超过7个，否则应划破修补，裂纹深度不得大于2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11.3结构层要求层间胶接良好，不允许有夹杂物和树脂结节，无泛白，凸出高度或凹陷深度不得大于强度层厚度的15％，裂纹深度不得大于设计厚度的10％，裂纹长度不得大于30mm。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11.4外表面应平整光滑色泽均匀无泛白，树脂必须充分浸润纤维，无夹杂物，无纤维外露；不允许有层间分层、脱层、树脂瘤等。</w:t>
      </w:r>
    </w:p>
    <w:p>
      <w:p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11.5制作完毕后表面初始巴氏硬度不小于35，最终表面巴氏硬度不小于40。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巴氏硬度的检测方法要求严格依照《纤维增强塑料巴氏(巴柯尔)硬度试验方法》GB/T 3854进行，必要时对测点处进行打磨，保证测点处的平整度，确保测试结果的准确性</w:t>
      </w:r>
      <w:r>
        <w:rPr>
          <w:rFonts w:hint="eastAsia" w:asciiTheme="minorEastAsia" w:hAnsiTheme="minorEastAsia" w:eastAsiaTheme="minorEastAsia" w:cstheme="minorEastAsia"/>
          <w:sz w:val="24"/>
          <w:szCs w:val="24"/>
          <w:lang w:eastAsia="zh-CN"/>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11.6烟囱制作作业标准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直径，制作按照下表作业标准执行：</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作业标准</w:t>
      </w:r>
    </w:p>
    <w:tbl>
      <w:tblPr>
        <w:tblStyle w:val="15"/>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502"/>
        <w:gridCol w:w="3380"/>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178" w:type="dxa"/>
            <w:gridSpan w:val="2"/>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作业名称</w:t>
            </w:r>
          </w:p>
        </w:tc>
        <w:tc>
          <w:tcPr>
            <w:tcW w:w="7102" w:type="dxa"/>
            <w:gridSpan w:val="2"/>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玻璃钢排烟囱缠绕作业标准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178" w:type="dxa"/>
            <w:gridSpan w:val="2"/>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3380"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指标</w:t>
            </w:r>
          </w:p>
        </w:tc>
        <w:tc>
          <w:tcPr>
            <w:tcW w:w="372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原始数据记录</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记录清晰准确。</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室内温度：＞15°C</w:t>
            </w:r>
          </w:p>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室内湿度：≤75％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材料准备</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树脂：固化剂：促进剂=1：0.01-0.02：0.005-0.01</w:t>
            </w:r>
          </w:p>
          <w:p>
            <w:pPr>
              <w:spacing w:line="240" w:lineRule="auto"/>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实际配比以工艺试验小样为准</w:t>
            </w:r>
            <w:r>
              <w:rPr>
                <w:rFonts w:hint="eastAsia" w:asciiTheme="minorEastAsia" w:hAnsiTheme="minorEastAsia" w:eastAsiaTheme="minorEastAsia" w:cstheme="minorEastAsia"/>
                <w:sz w:val="18"/>
                <w:szCs w:val="18"/>
                <w:lang w:eastAsia="zh-CN"/>
              </w:rPr>
              <w:t>)</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在量杯中制作不少于5组的树脂配比试验小样，最终确定1组适宜环境条件的合理配方</w:t>
            </w:r>
          </w:p>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树脂泵配备足量的树脂置于反应釜中，按配方要求称取促进剂倒入树脂罐，用搅拌器搅拌5～10min。树脂通过管道引入浸胶槽中，称取固化剂倒入，混合均匀。</w:t>
            </w:r>
          </w:p>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ECR缠绕纱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模具准备</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在缠绕模具表面贴一层脱模纸</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处理后全面检查脱模纸表面是否完整。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设备工具准备</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调试缠绕机正常运转，模具无偏心；旋转正常，小车行走自如；调试喷射设备。设备运转正常，短切纤维设备喷撒均匀</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喷枪、羊毛刷、刮刀、滚子、刀子、剪子；</w:t>
            </w:r>
          </w:p>
          <w:p>
            <w:pPr>
              <w:spacing w:line="240" w:lineRule="auto"/>
              <w:jc w:val="both"/>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1"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喷射、缠绕</w:t>
            </w:r>
          </w:p>
        </w:tc>
        <w:tc>
          <w:tcPr>
            <w:tcW w:w="3380" w:type="dxa"/>
            <w:vAlign w:val="center"/>
          </w:tcPr>
          <w:p>
            <w:pPr>
              <w:spacing w:line="240" w:lineRule="auto"/>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2400TEX缠绕纱，</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缠绕工艺由厂家确定</w:t>
            </w:r>
            <w:r>
              <w:rPr>
                <w:rFonts w:hint="eastAsia" w:asciiTheme="minorEastAsia" w:hAnsiTheme="minorEastAsia" w:eastAsiaTheme="minorEastAsia" w:cstheme="minorEastAsia"/>
                <w:sz w:val="18"/>
                <w:szCs w:val="18"/>
                <w:lang w:eastAsia="zh-CN"/>
              </w:rPr>
              <w:t>)</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缠绕时需注意张力控制，始终保持适当张力以保证缠绕制品质量，在缠绕时用压板及毛刷将纤维压实，并驱赶气泡。</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2</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反复上述操作。</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3</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缠绕完毕后，更换缠绕模具，准备下一次操作。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产品固化、脱模</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冷却至常温，脱模</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脱模后放在弧形支托上，内置支撑环，防止变形。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切试样</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按照拉伸、弯曲、压缩和剪切试样尺寸切割</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尽量保持纤维不被切断。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试样后固化</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DERAKANE 510C-350：120℃，2小时</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不损坏试样。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676"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1502" w:type="dxa"/>
            <w:vAlign w:val="center"/>
          </w:tcPr>
          <w:p>
            <w:pPr>
              <w:spacing w:line="24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检查</w:t>
            </w:r>
          </w:p>
        </w:tc>
        <w:tc>
          <w:tcPr>
            <w:tcW w:w="3380"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外观检查，取样测树脂含量。</w:t>
            </w:r>
          </w:p>
        </w:tc>
        <w:tc>
          <w:tcPr>
            <w:tcW w:w="3722" w:type="dxa"/>
            <w:vAlign w:val="center"/>
          </w:tcPr>
          <w:p>
            <w:pPr>
              <w:spacing w:line="240" w:lineRule="auto"/>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贴标签</w:t>
            </w:r>
          </w:p>
        </w:tc>
      </w:tr>
    </w:tbl>
    <w:p>
      <w:pPr>
        <w:spacing w:line="360" w:lineRule="auto"/>
        <w:rPr>
          <w:rFonts w:hint="eastAsia" w:asciiTheme="minorEastAsia" w:hAnsiTheme="minorEastAsia" w:eastAsiaTheme="minorEastAsia" w:cstheme="minorEastAsia"/>
          <w:sz w:val="24"/>
          <w:szCs w:val="24"/>
        </w:rPr>
      </w:pPr>
      <w:bookmarkStart w:id="42" w:name="_Toc322418561"/>
      <w:bookmarkStart w:id="43" w:name="_Toc320802826"/>
      <w:bookmarkStart w:id="44" w:name="_Toc320802456"/>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11.7 操作要点</w:t>
      </w:r>
      <w:bookmarkEnd w:id="42"/>
      <w:bookmarkEnd w:id="43"/>
      <w:bookmarkEnd w:id="44"/>
    </w:p>
    <w:p>
      <w:pPr>
        <w:spacing w:line="360" w:lineRule="auto"/>
        <w:ind w:firstLine="480" w:firstLineChars="200"/>
        <w:rPr>
          <w:rFonts w:hint="eastAsia" w:asciiTheme="minorEastAsia" w:hAnsiTheme="minorEastAsia" w:eastAsiaTheme="minorEastAsia" w:cstheme="minorEastAsia"/>
          <w:sz w:val="24"/>
          <w:szCs w:val="24"/>
        </w:rPr>
      </w:pPr>
      <w:bookmarkStart w:id="45" w:name="_Toc320802457"/>
      <w:bookmarkStart w:id="46" w:name="_Toc320802827"/>
      <w:bookmarkStart w:id="47" w:name="_Toc322418562"/>
      <w:r>
        <w:rPr>
          <w:rFonts w:hint="eastAsia" w:asciiTheme="minorEastAsia" w:hAnsiTheme="minorEastAsia" w:eastAsiaTheme="minorEastAsia" w:cstheme="minorEastAsia"/>
          <w:sz w:val="24"/>
          <w:szCs w:val="24"/>
        </w:rPr>
        <w:t>在模具上螺旋缠绕一层聚酯薄膜，搭接宽度在20mm左右，整体覆盖；薄膜缠绕时要均匀，不得有褶皱；</w:t>
      </w:r>
      <w:bookmarkEnd w:id="45"/>
      <w:bookmarkEnd w:id="46"/>
      <w:bookmarkEnd w:id="47"/>
    </w:p>
    <w:p>
      <w:pPr>
        <w:spacing w:line="360" w:lineRule="auto"/>
        <w:ind w:firstLine="480" w:firstLineChars="200"/>
        <w:rPr>
          <w:rFonts w:hint="eastAsia" w:asciiTheme="minorEastAsia" w:hAnsiTheme="minorEastAsia" w:eastAsiaTheme="minorEastAsia" w:cstheme="minorEastAsia"/>
          <w:sz w:val="24"/>
          <w:szCs w:val="24"/>
        </w:rPr>
      </w:pPr>
      <w:bookmarkStart w:id="48" w:name="_Toc322418563"/>
      <w:bookmarkStart w:id="49" w:name="_Toc320802828"/>
      <w:bookmarkStart w:id="50" w:name="_Toc320802458"/>
      <w:r>
        <w:rPr>
          <w:rFonts w:hint="eastAsia" w:asciiTheme="minorEastAsia" w:hAnsiTheme="minorEastAsia" w:eastAsiaTheme="minorEastAsia" w:cstheme="minorEastAsia"/>
          <w:sz w:val="24"/>
          <w:szCs w:val="24"/>
        </w:rPr>
        <w:t>使用喷枪时要检查刀片，胶轮和气马达是否正常；羊毛辊和压辊要紧随喷射路线滚压，防止喷射纱下滑；</w:t>
      </w:r>
      <w:bookmarkEnd w:id="48"/>
      <w:bookmarkEnd w:id="49"/>
      <w:bookmarkEnd w:id="50"/>
    </w:p>
    <w:p>
      <w:pPr>
        <w:spacing w:line="360" w:lineRule="auto"/>
        <w:ind w:firstLine="480" w:firstLineChars="200"/>
        <w:rPr>
          <w:rFonts w:hint="eastAsia" w:asciiTheme="minorEastAsia" w:hAnsiTheme="minorEastAsia" w:eastAsiaTheme="minorEastAsia" w:cstheme="minorEastAsia"/>
          <w:sz w:val="24"/>
          <w:szCs w:val="24"/>
        </w:rPr>
      </w:pPr>
      <w:bookmarkStart w:id="51" w:name="_Toc320802459"/>
      <w:bookmarkStart w:id="52" w:name="_Toc322418564"/>
      <w:bookmarkStart w:id="53" w:name="_Toc320802829"/>
      <w:r>
        <w:rPr>
          <w:rFonts w:hint="eastAsia" w:asciiTheme="minorEastAsia" w:hAnsiTheme="minorEastAsia" w:eastAsiaTheme="minorEastAsia" w:cstheme="minorEastAsia"/>
          <w:sz w:val="24"/>
          <w:szCs w:val="24"/>
        </w:rPr>
        <w:t>根据工艺要求，待内衬胶凝后将预先穿好的缠绕纱，按照工艺铺层表的要求进行缠绕；要求缠绕纱均匀连续；</w:t>
      </w:r>
      <w:bookmarkEnd w:id="51"/>
      <w:bookmarkEnd w:id="52"/>
      <w:bookmarkEnd w:id="53"/>
    </w:p>
    <w:p>
      <w:pPr>
        <w:spacing w:line="360" w:lineRule="auto"/>
        <w:ind w:firstLine="480" w:firstLineChars="200"/>
        <w:rPr>
          <w:rFonts w:hint="eastAsia" w:asciiTheme="minorEastAsia" w:hAnsiTheme="minorEastAsia" w:eastAsiaTheme="minorEastAsia" w:cstheme="minorEastAsia"/>
          <w:sz w:val="24"/>
          <w:szCs w:val="24"/>
        </w:rPr>
      </w:pPr>
      <w:bookmarkStart w:id="54" w:name="_Toc320802830"/>
      <w:bookmarkStart w:id="55" w:name="_Toc320802460"/>
      <w:bookmarkStart w:id="56" w:name="_Toc322418565"/>
      <w:r>
        <w:rPr>
          <w:rFonts w:hint="eastAsia" w:asciiTheme="minorEastAsia" w:hAnsiTheme="minorEastAsia" w:eastAsiaTheme="minorEastAsia" w:cstheme="minorEastAsia"/>
          <w:sz w:val="24"/>
          <w:szCs w:val="24"/>
        </w:rPr>
        <w:t xml:space="preserve"> 在工艺缠绕中有单向布加入时，采取50％搭接并环向缠绕的方法，每层搭接应错开；为保持布的完全贴合，可以施加一定张力；以上织物的树脂含量如果不足，应用喷枪补足，或用压辊用力滚压，保证纤维被树脂浸透；</w:t>
      </w:r>
      <w:bookmarkEnd w:id="54"/>
      <w:bookmarkEnd w:id="55"/>
      <w:bookmarkEnd w:id="56"/>
    </w:p>
    <w:p>
      <w:pPr>
        <w:spacing w:line="360" w:lineRule="auto"/>
        <w:ind w:firstLine="480" w:firstLineChars="200"/>
        <w:rPr>
          <w:rFonts w:hint="eastAsia" w:asciiTheme="minorEastAsia" w:hAnsiTheme="minorEastAsia" w:eastAsiaTheme="minorEastAsia" w:cstheme="minorEastAsia"/>
          <w:sz w:val="24"/>
          <w:szCs w:val="24"/>
        </w:rPr>
      </w:pPr>
      <w:bookmarkStart w:id="57" w:name="_Toc322418566"/>
      <w:bookmarkStart w:id="58" w:name="_Toc320802461"/>
      <w:bookmarkStart w:id="59" w:name="_Toc320802831"/>
      <w:r>
        <w:rPr>
          <w:rFonts w:hint="eastAsia" w:asciiTheme="minorEastAsia" w:hAnsiTheme="minorEastAsia" w:eastAsiaTheme="minorEastAsia" w:cstheme="minorEastAsia"/>
          <w:sz w:val="24"/>
          <w:szCs w:val="24"/>
        </w:rPr>
        <w:t>根据设计铺层进行缠绕，在每次缠绕前，应对上次缠绕的表面进行认真的检查，不应有明显的凸起，否则要进行打磨；</w:t>
      </w:r>
      <w:bookmarkEnd w:id="57"/>
      <w:bookmarkEnd w:id="58"/>
      <w:bookmarkEnd w:id="5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对结构层制作时非连续层间要有喷射纱过渡，并进行必要的打磨处理。</w:t>
      </w:r>
    </w:p>
    <w:p>
      <w:pPr>
        <w:spacing w:line="360" w:lineRule="auto"/>
        <w:ind w:firstLine="480" w:firstLineChars="200"/>
        <w:rPr>
          <w:rFonts w:hint="eastAsia" w:asciiTheme="minorEastAsia" w:hAnsiTheme="minorEastAsia" w:eastAsiaTheme="minorEastAsia" w:cstheme="minorEastAsia"/>
          <w:sz w:val="24"/>
          <w:szCs w:val="24"/>
        </w:rPr>
      </w:pPr>
      <w:bookmarkStart w:id="60" w:name="_Toc322418567"/>
      <w:bookmarkStart w:id="61" w:name="_Toc320802832"/>
      <w:bookmarkStart w:id="62" w:name="_Toc320802462"/>
      <w:r>
        <w:rPr>
          <w:rFonts w:hint="eastAsia" w:asciiTheme="minorEastAsia" w:hAnsiTheme="minorEastAsia" w:eastAsiaTheme="minorEastAsia" w:cstheme="minorEastAsia"/>
          <w:sz w:val="24"/>
          <w:szCs w:val="24"/>
        </w:rPr>
        <w:t>11.8注意事项</w:t>
      </w:r>
      <w:bookmarkEnd w:id="60"/>
      <w:bookmarkEnd w:id="61"/>
      <w:bookmarkEnd w:id="62"/>
    </w:p>
    <w:p>
      <w:pPr>
        <w:spacing w:line="360" w:lineRule="auto"/>
        <w:ind w:firstLine="480" w:firstLineChars="200"/>
        <w:rPr>
          <w:rFonts w:hint="eastAsia" w:asciiTheme="minorEastAsia" w:hAnsiTheme="minorEastAsia" w:eastAsiaTheme="minorEastAsia" w:cstheme="minorEastAsia"/>
          <w:sz w:val="24"/>
          <w:szCs w:val="24"/>
        </w:rPr>
      </w:pPr>
      <w:bookmarkStart w:id="63" w:name="_Toc322418568"/>
      <w:bookmarkStart w:id="64" w:name="_Toc320802833"/>
      <w:bookmarkStart w:id="65" w:name="_Toc320802463"/>
      <w:r>
        <w:rPr>
          <w:rFonts w:hint="eastAsia" w:asciiTheme="minorEastAsia" w:hAnsiTheme="minorEastAsia" w:eastAsiaTheme="minorEastAsia" w:cstheme="minorEastAsia"/>
          <w:sz w:val="24"/>
          <w:szCs w:val="24"/>
        </w:rPr>
        <w:t>施工环境必须洁净，防止粉尘、风沙或其它与制品无关的杂质混入其中。</w:t>
      </w:r>
      <w:bookmarkEnd w:id="63"/>
      <w:bookmarkEnd w:id="64"/>
      <w:bookmarkEnd w:id="65"/>
    </w:p>
    <w:p>
      <w:pPr>
        <w:spacing w:line="360" w:lineRule="auto"/>
        <w:ind w:firstLine="480" w:firstLineChars="200"/>
        <w:rPr>
          <w:rFonts w:hint="eastAsia" w:asciiTheme="minorEastAsia" w:hAnsiTheme="minorEastAsia" w:eastAsiaTheme="minorEastAsia" w:cstheme="minorEastAsia"/>
          <w:sz w:val="24"/>
          <w:szCs w:val="24"/>
        </w:rPr>
      </w:pPr>
      <w:bookmarkStart w:id="66" w:name="_Toc320802464"/>
      <w:bookmarkStart w:id="67" w:name="_Toc320802834"/>
      <w:bookmarkStart w:id="68" w:name="_Toc322418569"/>
      <w:r>
        <w:rPr>
          <w:rFonts w:hint="eastAsia" w:asciiTheme="minorEastAsia" w:hAnsiTheme="minorEastAsia" w:eastAsiaTheme="minorEastAsia" w:cstheme="minorEastAsia"/>
          <w:sz w:val="24"/>
          <w:szCs w:val="24"/>
        </w:rPr>
        <w:t>尽量避免夜间施工，如需夜间施工，应采取有效措施避免蚊虫等落在工件上面，如有蚊虫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尤其是大的硬壳甲虫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落入应立即停止施工，及时予以清除后方可继续施工。</w:t>
      </w:r>
      <w:bookmarkEnd w:id="66"/>
      <w:bookmarkEnd w:id="67"/>
      <w:bookmarkEnd w:id="68"/>
    </w:p>
    <w:p>
      <w:pPr>
        <w:spacing w:line="360" w:lineRule="auto"/>
        <w:ind w:firstLine="480" w:firstLineChars="200"/>
        <w:rPr>
          <w:rFonts w:hint="eastAsia" w:asciiTheme="minorEastAsia" w:hAnsiTheme="minorEastAsia" w:eastAsiaTheme="minorEastAsia" w:cstheme="minorEastAsia"/>
          <w:sz w:val="24"/>
          <w:szCs w:val="24"/>
        </w:rPr>
      </w:pPr>
      <w:bookmarkStart w:id="69" w:name="_Toc322418570"/>
      <w:bookmarkStart w:id="70" w:name="_Toc320802835"/>
      <w:bookmarkStart w:id="71" w:name="_Toc320802465"/>
      <w:r>
        <w:rPr>
          <w:rFonts w:hint="eastAsia" w:asciiTheme="minorEastAsia" w:hAnsiTheme="minorEastAsia" w:eastAsiaTheme="minorEastAsia" w:cstheme="minorEastAsia"/>
          <w:sz w:val="24"/>
          <w:szCs w:val="24"/>
        </w:rPr>
        <w:t>施工过程中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尤其内衬层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尽量赶出气泡、避免玻纤外露。要求产品内表面平整光洁，无杂质，无纤维外露；无目测可见裂纹，无明显划痕、疵点，白化及分层；无明显气泡；外表面光滑无裂纹及明显伤痕，无纤维外露，无明显气泡及严重的色泽不匀。</w:t>
      </w:r>
      <w:bookmarkEnd w:id="69"/>
      <w:bookmarkEnd w:id="70"/>
      <w:bookmarkEnd w:id="71"/>
    </w:p>
    <w:p>
      <w:pPr>
        <w:spacing w:line="360" w:lineRule="auto"/>
        <w:ind w:firstLine="480" w:firstLineChars="200"/>
        <w:rPr>
          <w:rFonts w:hint="eastAsia" w:asciiTheme="minorEastAsia" w:hAnsiTheme="minorEastAsia" w:eastAsiaTheme="minorEastAsia" w:cstheme="minorEastAsia"/>
          <w:sz w:val="24"/>
          <w:szCs w:val="24"/>
        </w:rPr>
      </w:pPr>
      <w:bookmarkStart w:id="72" w:name="_Toc322418571"/>
      <w:bookmarkStart w:id="73" w:name="_Toc320802466"/>
      <w:bookmarkStart w:id="74" w:name="_Toc320802836"/>
      <w:r>
        <w:rPr>
          <w:rFonts w:hint="eastAsia" w:asciiTheme="minorEastAsia" w:hAnsiTheme="minorEastAsia" w:eastAsiaTheme="minorEastAsia" w:cstheme="minorEastAsia"/>
          <w:sz w:val="24"/>
          <w:szCs w:val="24"/>
        </w:rPr>
        <w:t>施工完毕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固化后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仔细检查，若有施工中未发现的缺陷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如气泡、杂质等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应立即予以修补，方法如下：首先用手动砂轮打磨工件表面，直到被去除干净。然后将打磨表面的浮尘清除干净，用短切毡将打磨部位补平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内衬表面还应铺覆表面毡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。同一部位修复不得超过3次。</w:t>
      </w:r>
      <w:bookmarkEnd w:id="72"/>
      <w:bookmarkEnd w:id="73"/>
      <w:bookmarkEnd w:id="74"/>
    </w:p>
    <w:p>
      <w:pPr>
        <w:spacing w:line="360" w:lineRule="auto"/>
        <w:ind w:firstLine="480" w:firstLineChars="200"/>
        <w:rPr>
          <w:rFonts w:hint="eastAsia" w:asciiTheme="minorEastAsia" w:hAnsiTheme="minorEastAsia" w:eastAsiaTheme="minorEastAsia" w:cstheme="minorEastAsia"/>
          <w:sz w:val="24"/>
          <w:szCs w:val="24"/>
        </w:rPr>
      </w:pPr>
      <w:bookmarkStart w:id="75" w:name="_Toc320802467"/>
      <w:bookmarkStart w:id="76" w:name="_Toc322418572"/>
      <w:bookmarkStart w:id="77" w:name="_Toc320802837"/>
      <w:r>
        <w:rPr>
          <w:rFonts w:hint="eastAsia" w:asciiTheme="minorEastAsia" w:hAnsiTheme="minorEastAsia" w:eastAsiaTheme="minorEastAsia" w:cstheme="minorEastAsia"/>
          <w:sz w:val="24"/>
          <w:szCs w:val="24"/>
        </w:rPr>
        <w:t>11.9 单向布缠绕工艺要求</w:t>
      </w:r>
      <w:bookmarkEnd w:id="75"/>
      <w:bookmarkEnd w:id="76"/>
      <w:bookmarkEnd w:id="77"/>
    </w:p>
    <w:p>
      <w:pPr>
        <w:spacing w:line="360" w:lineRule="auto"/>
        <w:ind w:firstLine="480" w:firstLineChars="200"/>
        <w:rPr>
          <w:rFonts w:hint="eastAsia" w:asciiTheme="minorEastAsia" w:hAnsiTheme="minorEastAsia" w:eastAsiaTheme="minorEastAsia" w:cstheme="minorEastAsia"/>
          <w:sz w:val="24"/>
          <w:szCs w:val="24"/>
        </w:rPr>
      </w:pPr>
      <w:bookmarkStart w:id="78" w:name="_Toc320802838"/>
      <w:bookmarkStart w:id="79" w:name="_Toc320802468"/>
      <w:bookmarkStart w:id="80" w:name="_Toc322418573"/>
      <w:r>
        <w:rPr>
          <w:rFonts w:hint="eastAsia" w:asciiTheme="minorEastAsia" w:hAnsiTheme="minorEastAsia" w:eastAsiaTheme="minorEastAsia" w:cstheme="minorEastAsia"/>
          <w:sz w:val="24"/>
          <w:szCs w:val="24"/>
        </w:rPr>
        <w:t>单向布由主机带动机械缠绕，由小车上的喷枪同步进行喷射补胶，采用压辊滚压使布层完全浸胶；</w:t>
      </w:r>
      <w:bookmarkEnd w:id="78"/>
      <w:bookmarkEnd w:id="79"/>
      <w:bookmarkEnd w:id="80"/>
    </w:p>
    <w:p>
      <w:pPr>
        <w:spacing w:line="360" w:lineRule="auto"/>
        <w:ind w:firstLine="480" w:firstLineChars="200"/>
        <w:rPr>
          <w:rFonts w:hint="eastAsia" w:asciiTheme="minorEastAsia" w:hAnsiTheme="minorEastAsia" w:eastAsiaTheme="minorEastAsia" w:cstheme="minorEastAsia"/>
          <w:sz w:val="24"/>
          <w:szCs w:val="24"/>
        </w:rPr>
      </w:pPr>
      <w:bookmarkStart w:id="81" w:name="_Toc322418576"/>
      <w:bookmarkStart w:id="82" w:name="_Toc320802471"/>
      <w:bookmarkStart w:id="83" w:name="_Toc320802841"/>
      <w:r>
        <w:rPr>
          <w:rFonts w:hint="eastAsia" w:asciiTheme="minorEastAsia" w:hAnsiTheme="minorEastAsia" w:eastAsiaTheme="minorEastAsia" w:cstheme="minorEastAsia"/>
          <w:sz w:val="24"/>
          <w:szCs w:val="24"/>
        </w:rPr>
        <w:t>缠单向布时，搭接布宽的一半；</w:t>
      </w:r>
      <w:bookmarkEnd w:id="81"/>
      <w:bookmarkEnd w:id="82"/>
      <w:bookmarkEnd w:id="83"/>
    </w:p>
    <w:p>
      <w:pPr>
        <w:spacing w:line="360" w:lineRule="auto"/>
        <w:ind w:firstLine="480" w:firstLineChars="200"/>
        <w:rPr>
          <w:rFonts w:hint="eastAsia" w:asciiTheme="minorEastAsia" w:hAnsiTheme="minorEastAsia" w:eastAsiaTheme="minorEastAsia" w:cstheme="minorEastAsia"/>
          <w:sz w:val="24"/>
          <w:szCs w:val="24"/>
        </w:rPr>
      </w:pPr>
      <w:bookmarkStart w:id="84" w:name="_Toc320802473"/>
      <w:bookmarkStart w:id="85" w:name="_Toc320802843"/>
      <w:bookmarkStart w:id="86" w:name="_Toc322418578"/>
      <w:r>
        <w:rPr>
          <w:rFonts w:hint="eastAsia" w:asciiTheme="minorEastAsia" w:hAnsiTheme="minorEastAsia" w:eastAsiaTheme="minorEastAsia" w:cstheme="minorEastAsia"/>
          <w:sz w:val="24"/>
          <w:szCs w:val="24"/>
        </w:rPr>
        <w:t>11.10 模具和工装</w:t>
      </w:r>
      <w:bookmarkEnd w:id="84"/>
      <w:bookmarkEnd w:id="85"/>
      <w:bookmarkEnd w:id="86"/>
    </w:p>
    <w:p>
      <w:pPr>
        <w:spacing w:line="360" w:lineRule="auto"/>
        <w:ind w:firstLine="480" w:firstLineChars="200"/>
        <w:rPr>
          <w:rFonts w:hint="eastAsia" w:asciiTheme="minorEastAsia" w:hAnsiTheme="minorEastAsia" w:eastAsiaTheme="minorEastAsia" w:cstheme="minorEastAsia"/>
          <w:sz w:val="24"/>
          <w:szCs w:val="24"/>
        </w:rPr>
      </w:pPr>
      <w:bookmarkStart w:id="87" w:name="_Toc322418579"/>
      <w:bookmarkStart w:id="88" w:name="_Toc320802474"/>
      <w:bookmarkStart w:id="89" w:name="_Toc320802844"/>
      <w:r>
        <w:rPr>
          <w:rFonts w:hint="eastAsia" w:asciiTheme="minorEastAsia" w:hAnsiTheme="minorEastAsia" w:eastAsiaTheme="minorEastAsia" w:cstheme="minorEastAsia"/>
          <w:sz w:val="24"/>
          <w:szCs w:val="24"/>
        </w:rPr>
        <w:t>提高模具的刚性，保证圆度；</w:t>
      </w:r>
      <w:bookmarkEnd w:id="87"/>
      <w:bookmarkEnd w:id="88"/>
      <w:bookmarkEnd w:id="89"/>
    </w:p>
    <w:p>
      <w:pPr>
        <w:spacing w:line="360" w:lineRule="auto"/>
        <w:ind w:firstLine="480" w:firstLineChars="200"/>
        <w:rPr>
          <w:rFonts w:hint="eastAsia" w:asciiTheme="minorEastAsia" w:hAnsiTheme="minorEastAsia" w:eastAsiaTheme="minorEastAsia" w:cstheme="minorEastAsia"/>
          <w:sz w:val="24"/>
          <w:szCs w:val="24"/>
        </w:rPr>
      </w:pPr>
      <w:bookmarkStart w:id="90" w:name="_Toc320802475"/>
      <w:bookmarkStart w:id="91" w:name="_Toc320802845"/>
      <w:bookmarkStart w:id="92" w:name="_Toc322418580"/>
      <w:r>
        <w:rPr>
          <w:rFonts w:hint="eastAsia" w:asciiTheme="minorEastAsia" w:hAnsiTheme="minorEastAsia" w:eastAsiaTheme="minorEastAsia" w:cstheme="minorEastAsia"/>
          <w:sz w:val="24"/>
          <w:szCs w:val="24"/>
        </w:rPr>
        <w:t>尽量提高工装自动化水平；</w:t>
      </w:r>
      <w:bookmarkEnd w:id="90"/>
      <w:bookmarkEnd w:id="91"/>
      <w:bookmarkEnd w:id="92"/>
    </w:p>
    <w:p>
      <w:pPr>
        <w:spacing w:line="360" w:lineRule="auto"/>
        <w:ind w:firstLine="480" w:firstLineChars="200"/>
        <w:rPr>
          <w:rFonts w:hint="eastAsia" w:asciiTheme="minorEastAsia" w:hAnsiTheme="minorEastAsia" w:eastAsiaTheme="minorEastAsia" w:cstheme="minorEastAsia"/>
          <w:sz w:val="24"/>
          <w:szCs w:val="24"/>
        </w:rPr>
      </w:pPr>
      <w:bookmarkStart w:id="93" w:name="_Toc320802476"/>
      <w:bookmarkStart w:id="94" w:name="_Toc320802846"/>
      <w:bookmarkStart w:id="95" w:name="_Toc322418581"/>
      <w:r>
        <w:rPr>
          <w:rFonts w:hint="eastAsia" w:asciiTheme="minorEastAsia" w:hAnsiTheme="minorEastAsia" w:eastAsiaTheme="minorEastAsia" w:cstheme="minorEastAsia"/>
          <w:sz w:val="24"/>
          <w:szCs w:val="24"/>
        </w:rPr>
        <w:t>提高设备的维护水平，降低设备故障率，并提供关键设备故障应对预案；</w:t>
      </w:r>
      <w:bookmarkEnd w:id="93"/>
      <w:bookmarkEnd w:id="94"/>
      <w:bookmarkEnd w:id="95"/>
    </w:p>
    <w:p>
      <w:pPr>
        <w:spacing w:line="360" w:lineRule="auto"/>
        <w:ind w:firstLine="480" w:firstLineChars="200"/>
        <w:rPr>
          <w:rFonts w:hint="eastAsia" w:asciiTheme="minorEastAsia" w:hAnsiTheme="minorEastAsia" w:eastAsiaTheme="minorEastAsia" w:cstheme="minorEastAsia"/>
          <w:sz w:val="24"/>
          <w:szCs w:val="24"/>
        </w:rPr>
      </w:pPr>
      <w:bookmarkStart w:id="96" w:name="_Toc320802477"/>
      <w:bookmarkStart w:id="97" w:name="_Toc320802847"/>
      <w:bookmarkStart w:id="98" w:name="_Toc322418582"/>
      <w:r>
        <w:rPr>
          <w:rFonts w:hint="eastAsia" w:asciiTheme="minorEastAsia" w:hAnsiTheme="minorEastAsia" w:eastAsiaTheme="minorEastAsia" w:cstheme="minorEastAsia"/>
          <w:sz w:val="24"/>
          <w:szCs w:val="24"/>
        </w:rPr>
        <w:t>11.11 内衬层喷射纱完毕后，采用网格布兜住，以减少气泡，同时用压辊滚压排除气泡。</w:t>
      </w:r>
      <w:bookmarkEnd w:id="96"/>
      <w:bookmarkEnd w:id="97"/>
      <w:bookmarkEnd w:id="98"/>
    </w:p>
    <w:p>
      <w:pPr>
        <w:spacing w:line="360" w:lineRule="auto"/>
        <w:ind w:firstLine="480" w:firstLineChars="200"/>
        <w:rPr>
          <w:rFonts w:hint="eastAsia" w:asciiTheme="minorEastAsia" w:hAnsiTheme="minorEastAsia" w:eastAsiaTheme="minorEastAsia" w:cstheme="minorEastAsia"/>
          <w:sz w:val="24"/>
          <w:szCs w:val="24"/>
        </w:rPr>
      </w:pPr>
      <w:bookmarkStart w:id="99" w:name="_Toc320802478"/>
      <w:bookmarkStart w:id="100" w:name="_Toc320802848"/>
      <w:bookmarkStart w:id="101" w:name="_Toc322418583"/>
      <w:r>
        <w:rPr>
          <w:rFonts w:hint="eastAsia" w:asciiTheme="minorEastAsia" w:hAnsiTheme="minorEastAsia" w:eastAsiaTheme="minorEastAsia" w:cstheme="minorEastAsia"/>
          <w:sz w:val="24"/>
          <w:szCs w:val="24"/>
        </w:rPr>
        <w:t>11.12现场缠绕施工时，需确定缠绕时纱的支数以及纱片宽度</w:t>
      </w:r>
      <w:bookmarkEnd w:id="99"/>
      <w:bookmarkEnd w:id="100"/>
      <w:r>
        <w:rPr>
          <w:rFonts w:hint="eastAsia" w:asciiTheme="minorEastAsia" w:hAnsiTheme="minorEastAsia" w:eastAsiaTheme="minorEastAsia" w:cstheme="minorEastAsia"/>
          <w:sz w:val="24"/>
          <w:szCs w:val="24"/>
        </w:rPr>
        <w:t>。</w:t>
      </w:r>
      <w:bookmarkEnd w:id="101"/>
    </w:p>
    <w:p>
      <w:pPr>
        <w:spacing w:line="360" w:lineRule="auto"/>
        <w:ind w:firstLine="480" w:firstLineChars="200"/>
        <w:rPr>
          <w:rFonts w:hint="eastAsia" w:asciiTheme="minorEastAsia" w:hAnsiTheme="minorEastAsia" w:eastAsiaTheme="minorEastAsia" w:cstheme="minorEastAsia"/>
          <w:sz w:val="24"/>
          <w:szCs w:val="24"/>
        </w:rPr>
      </w:pPr>
      <w:bookmarkStart w:id="102" w:name="_Toc320802479"/>
      <w:bookmarkStart w:id="103" w:name="_Toc322418584"/>
      <w:bookmarkStart w:id="104" w:name="_Toc320802849"/>
      <w:r>
        <w:rPr>
          <w:rFonts w:hint="eastAsia" w:asciiTheme="minorEastAsia" w:hAnsiTheme="minorEastAsia" w:eastAsiaTheme="minorEastAsia" w:cstheme="minorEastAsia"/>
          <w:sz w:val="24"/>
          <w:szCs w:val="24"/>
        </w:rPr>
        <w:t>11.13加强筋的制作：加强筋分片粘接完成后，必须用环向纱分三部分进行缠绕，即加强筋的顶部、加强筋的两边与罐体的粘接处</w:t>
      </w:r>
      <w:bookmarkEnd w:id="102"/>
      <w:bookmarkEnd w:id="103"/>
      <w:bookmarkEnd w:id="104"/>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bookmarkStart w:id="105" w:name="_Toc320802850"/>
      <w:bookmarkStart w:id="106" w:name="_Toc322418585"/>
      <w:bookmarkStart w:id="107" w:name="_Toc320802480"/>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.14玻璃钢排烟囱管段的粘接：必须严格按照粘接长度进行施工，特别是在环境温度较低时，在粘接时必须保温</w:t>
      </w:r>
      <w:bookmarkEnd w:id="105"/>
      <w:bookmarkEnd w:id="106"/>
      <w:bookmarkEnd w:id="107"/>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bookmarkStart w:id="108" w:name="_Toc322418590"/>
      <w:bookmarkStart w:id="109" w:name="_Toc320802855"/>
      <w:bookmarkStart w:id="110" w:name="_Toc320802485"/>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.15法兰制作</w:t>
      </w:r>
      <w:bookmarkEnd w:id="108"/>
      <w:bookmarkEnd w:id="109"/>
      <w:bookmarkEnd w:id="110"/>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根据设计要求选择法兰模具，法兰盘与法兰管一次成形。法兰建议现场制作，且制作原材料应与排烟囱主体相同。</w:t>
      </w:r>
    </w:p>
    <w:p>
      <w:pPr>
        <w:spacing w:line="360" w:lineRule="auto"/>
        <w:ind w:firstLine="480" w:firstLineChars="200"/>
        <w:rPr>
          <w:rFonts w:hint="eastAsia" w:asciiTheme="minorEastAsia" w:hAnsiTheme="minorEastAsia" w:eastAsiaTheme="minorEastAsia" w:cstheme="minorEastAsia"/>
          <w:sz w:val="24"/>
          <w:szCs w:val="24"/>
        </w:rPr>
      </w:pPr>
      <w:bookmarkStart w:id="111" w:name="_Toc322418591"/>
      <w:bookmarkStart w:id="112" w:name="_Toc320802486"/>
      <w:bookmarkStart w:id="113" w:name="_Toc320802856"/>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.16手糊工艺</w:t>
      </w:r>
      <w:bookmarkEnd w:id="111"/>
      <w:bookmarkEnd w:id="112"/>
      <w:bookmarkEnd w:id="113"/>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所有手糊部分的铺层及厚度依据设计要求。</w:t>
      </w:r>
    </w:p>
    <w:p>
      <w:pPr>
        <w:spacing w:line="360" w:lineRule="auto"/>
        <w:ind w:firstLine="480" w:firstLineChars="200"/>
        <w:rPr>
          <w:rFonts w:hint="eastAsia" w:asciiTheme="minorEastAsia" w:hAnsiTheme="minorEastAsia" w:eastAsiaTheme="minorEastAsia" w:cstheme="minorEastAsia"/>
          <w:sz w:val="24"/>
          <w:szCs w:val="24"/>
        </w:rPr>
      </w:pPr>
      <w:bookmarkStart w:id="114" w:name="_Toc320802487"/>
      <w:bookmarkStart w:id="115" w:name="_Toc320802857"/>
      <w:bookmarkStart w:id="116" w:name="_Toc322418592"/>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.17 玻璃钢排烟囱法兰和螺栓</w:t>
      </w:r>
      <w:bookmarkEnd w:id="114"/>
      <w:bookmarkEnd w:id="115"/>
      <w:bookmarkEnd w:id="116"/>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法兰密封材料：密封垫材质为聚四氟乙烯。提供玻璃钢法兰及详细配合尺寸</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设计配合阶段应根据吸收塔供货商提供的法兰接口尺寸进行设计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，供货包括联接件和密封件，要求密封严实。</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尺寸限制：连接玻璃钢排烟囱内径为φ8000。</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法兰现场制作，且制作原材料应与排烟囱主体相同。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法兰及螺栓等附件：法兰材料为玻璃钢，螺栓等联接件材质为防腐钛钢。</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六、</w:t>
      </w:r>
      <w:r>
        <w:rPr>
          <w:rFonts w:hint="eastAsia" w:asciiTheme="minorEastAsia" w:hAnsiTheme="minorEastAsia" w:eastAsiaTheme="minorEastAsia" w:cstheme="minorEastAsia"/>
          <w:b/>
          <w:bCs/>
          <w:sz w:val="24"/>
          <w:szCs w:val="24"/>
        </w:rPr>
        <w:t>玻璃钢排烟囱体系中烟气冷凝结露液的排放及处理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烟囱玻璃钢排烟内筒体系中必须考虑烟气冷凝结露液的排放及处理。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烟气冷凝结露液的排放孔设置在内烟道与外界烟道连接膨胀伸缩节处靠内烟道侧的底部。排放孔不少于3个，排放孔处向下伸出的管段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包含法兰接头</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不少于800mm，孔内径200mm，内烟道底面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1/3圆弧段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排放孔位置处还应设置不小于100mm高的档板，以防止排烟内筒体系中的烟气冷凝结露液通过内烟道流淌到内外烟道连接处的膨胀伸缩节中。</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底部烟道侧面设检修人孔。</w:t>
      </w:r>
    </w:p>
    <w:p>
      <w:pPr>
        <w:spacing w:line="360" w:lineRule="auto"/>
        <w:ind w:firstLine="482" w:firstLineChars="200"/>
        <w:rPr>
          <w:rFonts w:hint="eastAsia" w:asciiTheme="minorEastAsia" w:hAnsiTheme="minorEastAsia" w:eastAsiaTheme="minorEastAsia" w:cstheme="minorEastAsia"/>
          <w:b/>
          <w:bCs/>
          <w:sz w:val="24"/>
          <w:szCs w:val="24"/>
        </w:rPr>
      </w:pPr>
      <w:bookmarkStart w:id="117" w:name="_Toc322418589"/>
      <w:bookmarkStart w:id="118" w:name="_Toc320802854"/>
      <w:bookmarkStart w:id="119" w:name="_Toc320802484"/>
      <w:r>
        <w:rPr>
          <w:rFonts w:hint="eastAsia" w:asciiTheme="minorEastAsia" w:hAnsiTheme="minorEastAsia" w:eastAsiaTheme="minorEastAsia" w:cstheme="minorEastAsia"/>
          <w:b/>
          <w:bCs/>
          <w:sz w:val="24"/>
          <w:szCs w:val="24"/>
          <w:lang w:val="en-US" w:eastAsia="zh-CN"/>
        </w:rPr>
        <w:t>七、</w:t>
      </w:r>
      <w:r>
        <w:rPr>
          <w:rFonts w:hint="eastAsia" w:asciiTheme="minorEastAsia" w:hAnsiTheme="minorEastAsia" w:eastAsiaTheme="minorEastAsia" w:cstheme="minorEastAsia"/>
          <w:b/>
          <w:bCs/>
          <w:sz w:val="24"/>
          <w:szCs w:val="24"/>
        </w:rPr>
        <w:t>玻璃钢排烟囱对接口制作</w:t>
      </w:r>
      <w:bookmarkEnd w:id="117"/>
      <w:bookmarkEnd w:id="118"/>
      <w:bookmarkEnd w:id="11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对接口的制作至关重要，因此应该严格按照工艺进行操作，否则可能会导致整体产品的结构强度不足。</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管道接口采用对接式，采用的材料是短切毡+玻璃布，手糊完成，接口宽度设计最小为400mm。</w: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781550" cy="4869815"/>
            <wp:effectExtent l="0" t="0" r="6350" b="6985"/>
            <wp:docPr id="51" name="图片 15" descr="C:\Documents and Settings\Administrator\Application Data\Tencent\Users\1727193711\QQ\WinTemp\RichOle\ODE`C`Q8JKQO66ZT$4U`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C:\Documents and Settings\Administrator\Application Data\Tencent\Users\1727193711\QQ\WinTemp\RichOle\ODE`C`Q8JKQO66ZT$4U`LOV.jpg"/>
                    <pic:cNvPicPr>
                      <a:picLocks noChangeAspect="1"/>
                    </pic:cNvPicPr>
                  </pic:nvPicPr>
                  <pic:blipFill>
                    <a:blip r:embed="rId48" r:link="rId49"/>
                    <a:stretch>
                      <a:fillRect/>
                    </a:stretch>
                  </pic:blipFill>
                  <pic:spPr>
                    <a:xfrm>
                      <a:off x="0" y="0"/>
                      <a:ext cx="4781550" cy="4869815"/>
                    </a:xfrm>
                    <a:prstGeom prst="rect">
                      <a:avLst/>
                    </a:prstGeom>
                    <a:noFill/>
                    <a:ln w="9525">
                      <a:noFill/>
                    </a:ln>
                  </pic:spPr>
                </pic:pic>
              </a:graphicData>
            </a:graphic>
          </wp:inline>
        </w:drawing>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对接接头技术要求：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对接铺层为最小的16英寸宽度的压层。压层有一个额外的锥形展开宽度，宽度和厚度的锥度不低于6:1。</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对于对接结构厚度覆盖在内外表面。</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表面处理准备</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表面将进行铺层施工前须进行打磨，打磨部位宽度至少超过铺层宽度1英寸。如果在打磨4个小时后，还没有进行二次覆盖，则需重新打磨。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打磨应该去除所有光面树脂涂层的痕迹，使玻璃纤维露出打磨区域。打磨区域的周长轮廓需要平滑地过渡到与周围表面。</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打磨需要使用研磨盘，研磨盘需要是新的，且没有被污染，且粒度在16-24之间。</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进行铺层之前，灰尘必须立即从打磨区域去除，灰尘可以通过真空吸尘器或者非金属的刷子或干净的干抹布，并且使用溶剂或者压缩气体去除，如果打磨区域有任何被污染的迹象，就需要通过溶剂清除，等挥发干之后重新打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铺层的施工</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组装的设备部件在二次覆盖完成之后才能移动。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切削边缘部分需要用树脂完全覆盖，这样玻璃纤维就不会露出。空洞的部分也需用树脂填塞。</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填塞的区域需要弄平整，且轮廓平滑，表面的准备需要根据规范要求来进行。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树脂层只能在打磨的区域使用，而且需要立即进行铺层施工。树脂层不能含有任何的触变材料。</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玻纤布层的宽度不能超过它下面的毡层。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裸露打磨区域需要在完成铺层之后进行表面涂层。</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所有的接口施工是在一个封闭的空间内施工，保证无尘灰法污染接口铺层基面，确保接口FRP粘接环境要求。</w:t>
      </w:r>
    </w:p>
    <w:p>
      <w:pPr>
        <w:spacing w:line="360" w:lineRule="auto"/>
        <w:ind w:firstLine="480" w:firstLineChars="200"/>
        <w:rPr>
          <w:rFonts w:hint="eastAsia" w:asciiTheme="minorEastAsia" w:hAnsiTheme="minorEastAsia" w:eastAsiaTheme="minorEastAsia" w:cstheme="minorEastAsia"/>
          <w:sz w:val="24"/>
          <w:szCs w:val="24"/>
        </w:rPr>
        <w:sectPr>
          <w:headerReference r:id="rId3" w:type="default"/>
          <w:footerReference r:id="rId4" w:type="default"/>
          <w:pgSz w:w="11906" w:h="16838"/>
          <w:pgMar w:top="1531"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heme="minorEastAsia" w:hAnsiTheme="minorEastAsia" w:eastAsiaTheme="minorEastAsia" w:cstheme="minorEastAsia"/>
          <w:sz w:val="24"/>
          <w:szCs w:val="24"/>
        </w:rPr>
        <w:t>在排烟囱组合安装之前30天内，按照排烟囱接口设计工艺及设计铺层的要求制作模拟接口样件，并进行拉伸试验，在确认各项性能指标均满足力学要求之前，不得进行正式的排烟囱接口组合。</w:t>
      </w:r>
      <w:bookmarkStart w:id="120" w:name="_Toc320802488"/>
      <w:bookmarkStart w:id="121" w:name="_Toc320802858"/>
      <w:bookmarkStart w:id="122" w:name="_Toc322418593"/>
    </w:p>
    <w:bookmarkEnd w:id="120"/>
    <w:bookmarkEnd w:id="121"/>
    <w:bookmarkEnd w:id="122"/>
    <w:p>
      <w:pPr>
        <w:spacing w:line="360" w:lineRule="auto"/>
        <w:ind w:firstLine="482" w:firstLineChars="200"/>
        <w:rPr>
          <w:rFonts w:hint="eastAsia" w:asciiTheme="minorEastAsia" w:hAnsiTheme="minorEastAsia" w:eastAsiaTheme="minorEastAsia" w:cstheme="minorEastAsia"/>
          <w:b/>
          <w:bCs/>
          <w:sz w:val="24"/>
          <w:szCs w:val="24"/>
        </w:rPr>
      </w:pPr>
      <w:bookmarkStart w:id="123" w:name="_Toc353625146"/>
      <w:bookmarkStart w:id="124" w:name="_Toc320802885"/>
      <w:bookmarkStart w:id="125" w:name="_Toc322418620"/>
      <w:bookmarkStart w:id="126" w:name="_Toc353625147"/>
      <w:bookmarkStart w:id="127" w:name="_Toc320802515"/>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弹性膨胀节</w:t>
      </w:r>
      <w:bookmarkEnd w:id="12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用途：吸收玻璃钢烟囱的轴向和侧向冷、热位移</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输送介质：脱硫吸收塔排除的净烟气</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密封型式：全密封</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28" w:name="OLE_LINK3"/>
      <w:r>
        <w:rPr>
          <w:rFonts w:hint="eastAsia" w:asciiTheme="minorEastAsia" w:hAnsiTheme="minorEastAsia" w:eastAsiaTheme="minorEastAsia" w:cstheme="minorEastAsia"/>
          <w:sz w:val="24"/>
          <w:szCs w:val="24"/>
          <w:lang w:val="en-US" w:eastAsia="zh-CN"/>
        </w:rPr>
        <w:t>运行方式：连续运行，应能满足机组各种运行工况。</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1.材质</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膨胀节为氟化橡胶，压条采用316L不锈钢，，螺栓等联接件材质为钛钢；</w:t>
      </w:r>
    </w:p>
    <w:bookmarkEnd w:id="128"/>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29" w:name="_Toc320802859"/>
      <w:bookmarkStart w:id="130" w:name="_Toc320802489"/>
      <w:bookmarkStart w:id="131" w:name="_Toc322418594"/>
      <w:r>
        <w:rPr>
          <w:rFonts w:hint="eastAsia" w:asciiTheme="minorEastAsia" w:hAnsiTheme="minorEastAsia" w:eastAsiaTheme="minorEastAsia" w:cstheme="minorEastAsia"/>
          <w:sz w:val="24"/>
          <w:szCs w:val="24"/>
          <w:lang w:val="en-US" w:eastAsia="zh-CN"/>
        </w:rPr>
        <w:t>2.氟橡胶性能介绍</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氟橡胶具有高度的化学稳定性，是目前所有弹性体中耐介质性能最好的一种。耐石油基油类、双酯类油、硅醚类油、硅酸类油，耐无机酸，耐多数的有机、无机溶剂、药品等，仅不耐低分子的酮、醚、酯，不耐胺、氨、氢氟酸、氯磺酸、磷酸类液压油。它耐强氧化性的无机酸如发烟硝酸、浓硫酸性能，在室温下98%的HNO3中浸渍27天它的体积膨胀仅为13%~15%。</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氟橡胶的耐高温性能和硅橡胶一样，可以说是目前弹性体中最好的。可以204℃条件下长期使用，250℃下短期使用。</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氟橡胶具有极好的耐天候老化性能，耐臭氧性能。据报导，DuPont开发的VitonA在自然存放十年之后性能仍然令人满意，在臭氧浓度为0.01%的空气中经45天作用没有明显龟裂。23型氟橡胶的耐天候老化、耐臭氧性能也极好。</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氟橡胶具有优良的物理机械性能。26型氟橡胶一般配合的强力在10~20MPa之间，扯断伸长率在150~350%之间，抗撕裂强度在3~4KN/m之间。23型氟橡胶强力在15.0~25MPa之间，伸长率在200%~600%，抗撕裂强度在2~7MPa之间。</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氟橡胶对气体的溶解度比较大，但扩散速度却比较小，所以总体表现出来的透气性也小。据报导，26型氟橡胶在30℃下对于氧、氮、氦、二氧化碳气体的透气性和丁基橡胶、丁橡胶相当，比氯丁胶、天然橡胶要好。</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由于氟橡胶具有耐高温、耐油、耐高真空及耐酸碱、耐多种化学药品的特点，在国外被广泛已应用于湿法脱硫项目。</w:t>
      </w:r>
      <w:bookmarkEnd w:id="129"/>
      <w:bookmarkEnd w:id="130"/>
      <w:bookmarkEnd w:id="131"/>
      <w:bookmarkStart w:id="132" w:name="_Toc320802491"/>
      <w:bookmarkStart w:id="133" w:name="_Toc320802861"/>
      <w:bookmarkStart w:id="134" w:name="_Toc322418596"/>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bookmarkEnd w:id="132"/>
      <w:bookmarkEnd w:id="133"/>
      <w:bookmarkEnd w:id="134"/>
      <w:r>
        <w:rPr>
          <w:rFonts w:hint="eastAsia" w:asciiTheme="minorEastAsia" w:hAnsiTheme="minorEastAsia" w:eastAsiaTheme="minorEastAsia" w:cstheme="minorEastAsia"/>
          <w:sz w:val="24"/>
          <w:szCs w:val="24"/>
          <w:lang w:val="en-US" w:eastAsia="zh-CN"/>
        </w:rPr>
        <w:t>.性能指标</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最高连续使用温度：204℃</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耐低温性：-40℃</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拉伸强度：20MPa</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邵氏硬度：65-95</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使用寿命：30年(与FRP烟囱同寿命)</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4.结构(如图)：</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膨胀节最终由公司设计定制。</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5104" behindDoc="0" locked="0" layoutInCell="1" allowOverlap="1">
            <wp:simplePos x="0" y="0"/>
            <wp:positionH relativeFrom="column">
              <wp:posOffset>232410</wp:posOffset>
            </wp:positionH>
            <wp:positionV relativeFrom="paragraph">
              <wp:posOffset>174625</wp:posOffset>
            </wp:positionV>
            <wp:extent cx="1707515" cy="3485515"/>
            <wp:effectExtent l="0" t="0" r="6985" b="6985"/>
            <wp:wrapNone/>
            <wp:docPr id="36" name="图片 360" descr="PYYN)JIT~EIN2B4G)F$_5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0" descr="PYYN)JIT~EIN2B4G)F$_5Z4"/>
                    <pic:cNvPicPr>
                      <a:picLocks noChangeAspect="1"/>
                    </pic:cNvPicPr>
                  </pic:nvPicPr>
                  <pic:blipFill>
                    <a:blip r:embed="rId50"/>
                    <a:stretch>
                      <a:fillRect/>
                    </a:stretch>
                  </pic:blipFill>
                  <pic:spPr>
                    <a:xfrm>
                      <a:off x="0" y="0"/>
                      <a:ext cx="1707515" cy="348551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96128" behindDoc="0" locked="0" layoutInCell="1" allowOverlap="1">
            <wp:simplePos x="0" y="0"/>
            <wp:positionH relativeFrom="column">
              <wp:posOffset>2319655</wp:posOffset>
            </wp:positionH>
            <wp:positionV relativeFrom="paragraph">
              <wp:posOffset>87630</wp:posOffset>
            </wp:positionV>
            <wp:extent cx="2901950" cy="2167255"/>
            <wp:effectExtent l="0" t="0" r="6350" b="4445"/>
            <wp:wrapNone/>
            <wp:docPr id="37" name="图片 361" descr="Expansion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1" descr="Expansion Joint"/>
                    <pic:cNvPicPr>
                      <a:picLocks noChangeAspect="1"/>
                    </pic:cNvPicPr>
                  </pic:nvPicPr>
                  <pic:blipFill>
                    <a:blip r:embed="rId16"/>
                    <a:stretch>
                      <a:fillRect/>
                    </a:stretch>
                  </pic:blipFill>
                  <pic:spPr>
                    <a:xfrm>
                      <a:off x="0" y="0"/>
                      <a:ext cx="2901950" cy="2167255"/>
                    </a:xfrm>
                    <a:prstGeom prst="rect">
                      <a:avLst/>
                    </a:prstGeom>
                    <a:noFill/>
                    <a:ln w="9525">
                      <a:noFill/>
                    </a:ln>
                  </pic:spPr>
                </pic:pic>
              </a:graphicData>
            </a:graphic>
          </wp:anchor>
        </w:drawing>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35" w:name="_Toc130004534"/>
      <w:bookmarkStart w:id="136" w:name="_Toc320802493"/>
      <w:bookmarkStart w:id="137" w:name="_Toc54172167"/>
      <w:bookmarkStart w:id="138" w:name="_Toc63570760"/>
      <w:bookmarkStart w:id="139" w:name="_Toc75685866"/>
      <w:bookmarkStart w:id="140" w:name="_Toc118701048"/>
      <w:bookmarkStart w:id="141" w:name="_Toc320802863"/>
      <w:bookmarkStart w:id="142" w:name="_Toc11761776"/>
      <w:bookmarkStart w:id="143" w:name="_Toc322418598"/>
      <w:r>
        <w:rPr>
          <w:rFonts w:hint="eastAsia" w:asciiTheme="minorEastAsia" w:hAnsiTheme="minorEastAsia" w:eastAsiaTheme="minorEastAsia" w:cstheme="minorEastAsia"/>
          <w:sz w:val="24"/>
          <w:szCs w:val="24"/>
          <w:lang w:val="en-US" w:eastAsia="zh-CN"/>
        </w:rPr>
        <w:t>5.技术要求</w:t>
      </w:r>
      <w:bookmarkEnd w:id="135"/>
      <w:bookmarkEnd w:id="136"/>
      <w:bookmarkEnd w:id="137"/>
      <w:bookmarkEnd w:id="138"/>
      <w:bookmarkEnd w:id="139"/>
      <w:bookmarkEnd w:id="140"/>
      <w:bookmarkEnd w:id="141"/>
      <w:bookmarkEnd w:id="142"/>
      <w:bookmarkEnd w:id="143"/>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44" w:name="_Toc320802494"/>
      <w:bookmarkStart w:id="145" w:name="_Toc320802864"/>
      <w:bookmarkStart w:id="146" w:name="_Toc322418599"/>
      <w:r>
        <w:rPr>
          <w:rFonts w:hint="eastAsia" w:asciiTheme="minorEastAsia" w:hAnsiTheme="minorEastAsia" w:eastAsiaTheme="minorEastAsia" w:cstheme="minorEastAsia"/>
          <w:sz w:val="24"/>
          <w:szCs w:val="24"/>
          <w:lang w:val="en-US" w:eastAsia="zh-CN"/>
        </w:rPr>
        <w:t>5.1 补偿器在所有运行和事故条件下都应能吸收全部连接排烟筒之间的轴向和侧向运动。非金属补偿器能长期安全运行。</w:t>
      </w:r>
      <w:bookmarkEnd w:id="144"/>
      <w:bookmarkEnd w:id="145"/>
      <w:bookmarkEnd w:id="14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47" w:name="_Toc320802495"/>
      <w:bookmarkStart w:id="148" w:name="_Toc320802865"/>
      <w:bookmarkStart w:id="149" w:name="_Toc322418600"/>
      <w:r>
        <w:rPr>
          <w:rFonts w:hint="eastAsia" w:asciiTheme="minorEastAsia" w:hAnsiTheme="minorEastAsia" w:eastAsiaTheme="minorEastAsia" w:cstheme="minorEastAsia"/>
          <w:sz w:val="24"/>
          <w:szCs w:val="24"/>
          <w:lang w:val="en-US" w:eastAsia="zh-CN"/>
        </w:rPr>
        <w:t>5.2 所有补偿器应设计成能无损害和泄漏的承受烟气各种高温偏移范围，并且能承受可能发生的最大设计正压和负压加上10mbar余量的压力。当锅炉事故工况烟气短时超温不大于135℃时，仍须保证补偿器各种性能不会受到影响，能承受低温饱和烟气/或高温烟气，烟囱补偿器材料应满足服务的要求。</w:t>
      </w:r>
      <w:bookmarkEnd w:id="147"/>
      <w:bookmarkEnd w:id="148"/>
      <w:bookmarkEnd w:id="149"/>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50" w:name="_Toc320802496"/>
      <w:bookmarkStart w:id="151" w:name="_Toc320802866"/>
      <w:bookmarkStart w:id="152" w:name="_Toc322418601"/>
      <w:r>
        <w:rPr>
          <w:rFonts w:hint="eastAsia" w:asciiTheme="minorEastAsia" w:hAnsiTheme="minorEastAsia" w:eastAsiaTheme="minorEastAsia" w:cstheme="minorEastAsia"/>
          <w:sz w:val="24"/>
          <w:szCs w:val="24"/>
          <w:lang w:val="en-US" w:eastAsia="zh-CN"/>
        </w:rPr>
        <w:t>5.3 根据烟囱设计压力，补偿器将依据系统内发生的最大和最小压力设计。</w:t>
      </w:r>
      <w:bookmarkEnd w:id="150"/>
      <w:bookmarkEnd w:id="151"/>
      <w:bookmarkEnd w:id="152"/>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53" w:name="_Toc322418602"/>
      <w:bookmarkStart w:id="154" w:name="_Toc320802867"/>
      <w:bookmarkStart w:id="155" w:name="_Toc320802497"/>
      <w:r>
        <w:rPr>
          <w:rFonts w:hint="eastAsia" w:asciiTheme="minorEastAsia" w:hAnsiTheme="minorEastAsia" w:eastAsiaTheme="minorEastAsia" w:cstheme="minorEastAsia"/>
          <w:sz w:val="24"/>
          <w:szCs w:val="24"/>
          <w:lang w:val="en-US" w:eastAsia="zh-CN"/>
        </w:rPr>
        <w:t>5.4 补偿器内部的保温应考虑烟气的特性，补偿器外装应考虑方便的检修条件。</w:t>
      </w:r>
      <w:bookmarkEnd w:id="153"/>
      <w:bookmarkEnd w:id="154"/>
      <w:bookmarkEnd w:id="15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56" w:name="_Toc322418604"/>
      <w:bookmarkStart w:id="157" w:name="_Toc320802499"/>
      <w:bookmarkStart w:id="158" w:name="_Toc320802869"/>
      <w:r>
        <w:rPr>
          <w:rFonts w:hint="eastAsia" w:asciiTheme="minorEastAsia" w:hAnsiTheme="minorEastAsia" w:eastAsiaTheme="minorEastAsia" w:cstheme="minorEastAsia"/>
          <w:sz w:val="24"/>
          <w:szCs w:val="24"/>
          <w:lang w:val="en-US" w:eastAsia="zh-CN"/>
        </w:rPr>
        <w:t>5.5 补偿器及与烟囱的密封应是100％气密性，详细描述密封材料及密封性能。</w:t>
      </w:r>
      <w:bookmarkEnd w:id="156"/>
      <w:bookmarkEnd w:id="157"/>
      <w:bookmarkEnd w:id="15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59" w:name="_Toc320802871"/>
      <w:bookmarkStart w:id="160" w:name="_Toc320802501"/>
      <w:bookmarkStart w:id="161" w:name="_Toc322418606"/>
      <w:r>
        <w:rPr>
          <w:rFonts w:hint="eastAsia" w:asciiTheme="minorEastAsia" w:hAnsiTheme="minorEastAsia" w:eastAsiaTheme="minorEastAsia" w:cstheme="minorEastAsia"/>
          <w:sz w:val="24"/>
          <w:szCs w:val="24"/>
          <w:lang w:val="en-US" w:eastAsia="zh-CN"/>
        </w:rPr>
        <w:t>5.6 单个补偿器总宽度(含有效长度和框架宽度)＝1000mm(暂定)。</w:t>
      </w:r>
      <w:bookmarkEnd w:id="159"/>
      <w:bookmarkEnd w:id="160"/>
      <w:bookmarkEnd w:id="16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62" w:name="_Toc118701049"/>
      <w:bookmarkStart w:id="163" w:name="_Toc320802876"/>
      <w:bookmarkStart w:id="164" w:name="_Toc130004535"/>
      <w:bookmarkStart w:id="165" w:name="_Toc322418611"/>
      <w:bookmarkStart w:id="166" w:name="_Toc320802506"/>
      <w:r>
        <w:rPr>
          <w:rFonts w:hint="eastAsia" w:asciiTheme="minorEastAsia" w:hAnsiTheme="minorEastAsia" w:eastAsiaTheme="minorEastAsia" w:cstheme="minorEastAsia"/>
          <w:sz w:val="24"/>
          <w:szCs w:val="24"/>
          <w:lang w:val="en-US" w:eastAsia="zh-CN"/>
        </w:rPr>
        <w:t>6.性能保证</w:t>
      </w:r>
      <w:bookmarkEnd w:id="162"/>
      <w:bookmarkEnd w:id="163"/>
      <w:bookmarkEnd w:id="164"/>
      <w:bookmarkEnd w:id="165"/>
      <w:bookmarkEnd w:id="16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67" w:name="_Toc320802507"/>
      <w:bookmarkStart w:id="168" w:name="_Toc320802877"/>
      <w:bookmarkStart w:id="169" w:name="_Toc322418612"/>
      <w:r>
        <w:rPr>
          <w:rFonts w:hint="eastAsia" w:asciiTheme="minorEastAsia" w:hAnsiTheme="minorEastAsia" w:eastAsiaTheme="minorEastAsia" w:cstheme="minorEastAsia"/>
          <w:sz w:val="24"/>
          <w:szCs w:val="24"/>
          <w:lang w:val="en-US" w:eastAsia="zh-CN"/>
        </w:rPr>
        <w:t>6.1 性能</w:t>
      </w:r>
      <w:bookmarkEnd w:id="167"/>
      <w:bookmarkEnd w:id="168"/>
      <w:bookmarkEnd w:id="169"/>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补偿器在所有运行和事故条件下都应能吸收全部连接排烟筒间的轴向和侧向运动；所有补偿器应设计成能无损害和泄漏的承受烟气各种高温偏移范围，并且能承受可能发生的最大设计正压和负压加上10mbar余量的压力。所有补偿器在烟温小于135℃、运行时间不大于30分钟的情况下，仍须保证各种性能不会受到影响。</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70" w:name="_Toc320802508"/>
      <w:bookmarkStart w:id="171" w:name="_Toc320802878"/>
      <w:bookmarkStart w:id="172" w:name="_Toc322418613"/>
      <w:r>
        <w:rPr>
          <w:rFonts w:hint="eastAsia" w:asciiTheme="minorEastAsia" w:hAnsiTheme="minorEastAsia" w:eastAsiaTheme="minorEastAsia" w:cstheme="minorEastAsia"/>
          <w:sz w:val="24"/>
          <w:szCs w:val="24"/>
          <w:lang w:val="en-US" w:eastAsia="zh-CN"/>
        </w:rPr>
        <w:t>6.2 其它</w:t>
      </w:r>
      <w:bookmarkEnd w:id="170"/>
      <w:bookmarkEnd w:id="171"/>
      <w:bookmarkEnd w:id="172"/>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正常操作时不间断地连续运行的时间大于43800小时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整体寿命为30年(不包括易损件)。</w:t>
      </w:r>
    </w:p>
    <w:p>
      <w:pPr>
        <w:spacing w:line="360" w:lineRule="auto"/>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九、玻璃钢排烟囱的质量检验</w:t>
      </w:r>
      <w:bookmarkEnd w:id="124"/>
      <w:bookmarkEnd w:id="125"/>
      <w:bookmarkEnd w:id="126"/>
      <w:bookmarkEnd w:id="127"/>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包方应具备完善的质量自我监督和检测手段，检测的数据和方法不得低于本规范书的要求。除了提供制作工程的详细检验测试记录和报告外，并有义务根据的委托的质量监督或监造单位的要求，提供测试件进行检测。如检测数据有较大差异，需增加试件并补测，以保证所有数据真实可靠。</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玻璃钢排烟囱分段制作每段均应预留足够长度的检验段，检验段应≥300mm，检验率100%。</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73" w:name="_Toc320802516"/>
      <w:bookmarkStart w:id="174" w:name="_Toc320802886"/>
      <w:bookmarkStart w:id="175" w:name="_Toc322418621"/>
      <w:r>
        <w:rPr>
          <w:rFonts w:hint="eastAsia" w:asciiTheme="minorEastAsia" w:hAnsiTheme="minorEastAsia" w:eastAsiaTheme="minorEastAsia" w:cstheme="minorEastAsia"/>
          <w:sz w:val="24"/>
          <w:szCs w:val="24"/>
          <w:lang w:val="en-US" w:eastAsia="zh-CN"/>
        </w:rPr>
        <w:t>1 检验的内容和方法</w:t>
      </w:r>
      <w:bookmarkEnd w:id="173"/>
      <w:bookmarkEnd w:id="174"/>
      <w:bookmarkEnd w:id="17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76" w:name="_Toc320802517"/>
      <w:bookmarkStart w:id="177" w:name="_Toc320802887"/>
      <w:bookmarkStart w:id="178" w:name="_Toc322418622"/>
      <w:r>
        <w:rPr>
          <w:rFonts w:hint="eastAsia" w:asciiTheme="minorEastAsia" w:hAnsiTheme="minorEastAsia" w:eastAsiaTheme="minorEastAsia" w:cstheme="minorEastAsia"/>
          <w:sz w:val="24"/>
          <w:szCs w:val="24"/>
          <w:lang w:val="en-US" w:eastAsia="zh-CN"/>
        </w:rPr>
        <w:t>1.1 外观检查</w:t>
      </w:r>
      <w:bookmarkEnd w:id="176"/>
      <w:bookmarkEnd w:id="177"/>
      <w:bookmarkEnd w:id="178"/>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目测打磨表面以及排烟囱组装粘接后的表面。</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79" w:name="_Toc320802518"/>
      <w:bookmarkStart w:id="180" w:name="_Toc320802888"/>
      <w:bookmarkStart w:id="181" w:name="_Toc322418623"/>
      <w:r>
        <w:rPr>
          <w:rFonts w:hint="eastAsia" w:asciiTheme="minorEastAsia" w:hAnsiTheme="minorEastAsia" w:eastAsiaTheme="minorEastAsia" w:cstheme="minorEastAsia"/>
          <w:sz w:val="24"/>
          <w:szCs w:val="24"/>
          <w:lang w:val="en-US" w:eastAsia="zh-CN"/>
        </w:rPr>
        <w:t>1.2 几何尺寸测量</w:t>
      </w:r>
      <w:bookmarkEnd w:id="179"/>
      <w:bookmarkEnd w:id="180"/>
      <w:bookmarkEnd w:id="18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82" w:name="_Toc320802889"/>
      <w:bookmarkStart w:id="183" w:name="_Toc320802519"/>
      <w:bookmarkStart w:id="184" w:name="_Toc322418624"/>
      <w:r>
        <w:rPr>
          <w:rFonts w:hint="eastAsia" w:asciiTheme="minorEastAsia" w:hAnsiTheme="minorEastAsia" w:eastAsiaTheme="minorEastAsia" w:cstheme="minorEastAsia"/>
          <w:sz w:val="24"/>
          <w:szCs w:val="24"/>
          <w:lang w:val="en-US" w:eastAsia="zh-CN"/>
        </w:rPr>
        <w:t>1.2.1 厚度，采用超声波测厚仪测定管道厚度，每段排烟囱管体3个断面各8个以上测量点。用精度为0.05 mm的卡尺，测量至少10个测量点，取平均值进行复核。排烟囱各个对接口8个以上测量点。</w:t>
      </w:r>
      <w:bookmarkEnd w:id="182"/>
      <w:bookmarkEnd w:id="183"/>
      <w:bookmarkEnd w:id="18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85" w:name="_Toc322418625"/>
      <w:bookmarkStart w:id="186" w:name="_Toc320802890"/>
      <w:bookmarkStart w:id="187" w:name="_Toc320802520"/>
      <w:r>
        <w:rPr>
          <w:rFonts w:hint="eastAsia" w:asciiTheme="minorEastAsia" w:hAnsiTheme="minorEastAsia" w:eastAsiaTheme="minorEastAsia" w:cstheme="minorEastAsia"/>
          <w:sz w:val="24"/>
          <w:szCs w:val="24"/>
          <w:lang w:val="en-US" w:eastAsia="zh-CN"/>
        </w:rPr>
        <w:t>1.2.2 粘接尺寸，用精度为1mm的钢卷尺测量，每隔一定距离进行一次测量，共进行3次测量，取平均值。</w:t>
      </w:r>
      <w:bookmarkEnd w:id="185"/>
      <w:bookmarkEnd w:id="186"/>
      <w:bookmarkEnd w:id="18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88" w:name="_Toc320802521"/>
      <w:bookmarkStart w:id="189" w:name="_Toc320802891"/>
      <w:bookmarkStart w:id="190" w:name="_Toc322418626"/>
      <w:r>
        <w:rPr>
          <w:rFonts w:hint="eastAsia" w:asciiTheme="minorEastAsia" w:hAnsiTheme="minorEastAsia" w:eastAsiaTheme="minorEastAsia" w:cstheme="minorEastAsia"/>
          <w:sz w:val="24"/>
          <w:szCs w:val="24"/>
          <w:lang w:val="en-US" w:eastAsia="zh-CN"/>
        </w:rPr>
        <w:t>1.2.3 管端面垂直度，用精度为1mm的直角尺加钢尺测定管端面垂直度，精确到0.5mm。</w:t>
      </w:r>
      <w:bookmarkEnd w:id="188"/>
      <w:bookmarkEnd w:id="189"/>
      <w:bookmarkEnd w:id="19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91" w:name="_Toc320802522"/>
      <w:bookmarkStart w:id="192" w:name="_Toc320802892"/>
      <w:bookmarkStart w:id="193" w:name="_Toc322418627"/>
      <w:r>
        <w:rPr>
          <w:rFonts w:hint="eastAsia" w:asciiTheme="minorEastAsia" w:hAnsiTheme="minorEastAsia" w:eastAsiaTheme="minorEastAsia" w:cstheme="minorEastAsia"/>
          <w:sz w:val="24"/>
          <w:szCs w:val="24"/>
          <w:lang w:val="en-US" w:eastAsia="zh-CN"/>
        </w:rPr>
        <w:t>1.3 拉伸强度</w:t>
      </w:r>
      <w:bookmarkEnd w:id="191"/>
      <w:bookmarkEnd w:id="192"/>
      <w:bookmarkEnd w:id="19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拉伸强度按GB/T 1447的规定进行测试。</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94" w:name="_Toc320802523"/>
      <w:bookmarkStart w:id="195" w:name="_Toc320802893"/>
      <w:bookmarkStart w:id="196" w:name="_Toc322418628"/>
      <w:r>
        <w:rPr>
          <w:rFonts w:hint="eastAsia" w:asciiTheme="minorEastAsia" w:hAnsiTheme="minorEastAsia" w:eastAsiaTheme="minorEastAsia" w:cstheme="minorEastAsia"/>
          <w:sz w:val="24"/>
          <w:szCs w:val="24"/>
          <w:lang w:val="en-US" w:eastAsia="zh-CN"/>
        </w:rPr>
        <w:t>1.4 树脂含量</w:t>
      </w:r>
      <w:bookmarkEnd w:id="194"/>
      <w:bookmarkEnd w:id="195"/>
      <w:bookmarkEnd w:id="196"/>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树脂含量按GB/T 2577规定试验。</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197" w:name="_Toc320802524"/>
      <w:bookmarkStart w:id="198" w:name="_Toc320802894"/>
      <w:bookmarkStart w:id="199" w:name="_Toc322418629"/>
      <w:r>
        <w:rPr>
          <w:rFonts w:hint="eastAsia" w:asciiTheme="minorEastAsia" w:hAnsiTheme="minorEastAsia" w:eastAsiaTheme="minorEastAsia" w:cstheme="minorEastAsia"/>
          <w:sz w:val="24"/>
          <w:szCs w:val="24"/>
          <w:lang w:val="en-US" w:eastAsia="zh-CN"/>
        </w:rPr>
        <w:t>1.5 树脂不可溶份含量</w:t>
      </w:r>
      <w:bookmarkEnd w:id="197"/>
      <w:bookmarkEnd w:id="198"/>
      <w:bookmarkEnd w:id="199"/>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树脂不可溶份含量按GB/T 2576规定试验。</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00" w:name="_Toc322418630"/>
      <w:bookmarkStart w:id="201" w:name="_Toc320802525"/>
      <w:bookmarkStart w:id="202" w:name="_Toc320802895"/>
      <w:r>
        <w:rPr>
          <w:rFonts w:hint="eastAsia" w:asciiTheme="minorEastAsia" w:hAnsiTheme="minorEastAsia" w:eastAsiaTheme="minorEastAsia" w:cstheme="minorEastAsia"/>
          <w:sz w:val="24"/>
          <w:szCs w:val="24"/>
          <w:lang w:val="en-US" w:eastAsia="zh-CN"/>
        </w:rPr>
        <w:t>1.6 巴氏硬度</w:t>
      </w:r>
      <w:bookmarkEnd w:id="200"/>
      <w:bookmarkEnd w:id="201"/>
      <w:bookmarkEnd w:id="202"/>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巴氏硬度按GB/T 3854规定试验。</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03" w:name="_Toc320802896"/>
      <w:bookmarkStart w:id="204" w:name="_Toc320802526"/>
      <w:bookmarkStart w:id="205" w:name="_Toc322418631"/>
      <w:r>
        <w:rPr>
          <w:rFonts w:hint="eastAsia" w:asciiTheme="minorEastAsia" w:hAnsiTheme="minorEastAsia" w:eastAsiaTheme="minorEastAsia" w:cstheme="minorEastAsia"/>
          <w:sz w:val="24"/>
          <w:szCs w:val="24"/>
          <w:lang w:val="en-US" w:eastAsia="zh-CN"/>
        </w:rPr>
        <w:t>2 检验规则</w:t>
      </w:r>
      <w:bookmarkEnd w:id="203"/>
      <w:bookmarkEnd w:id="204"/>
      <w:bookmarkEnd w:id="205"/>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检验只有出厂检验(在施工现场进行)。</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06" w:name="_Toc320802897"/>
      <w:bookmarkStart w:id="207" w:name="_Toc322418632"/>
      <w:bookmarkStart w:id="208" w:name="_Toc320802527"/>
      <w:r>
        <w:rPr>
          <w:rFonts w:hint="eastAsia" w:asciiTheme="minorEastAsia" w:hAnsiTheme="minorEastAsia" w:eastAsiaTheme="minorEastAsia" w:cstheme="minorEastAsia"/>
          <w:sz w:val="24"/>
          <w:szCs w:val="24"/>
          <w:lang w:val="en-US" w:eastAsia="zh-CN"/>
        </w:rPr>
        <w:t>3 检验项目</w:t>
      </w:r>
      <w:bookmarkEnd w:id="206"/>
      <w:bookmarkEnd w:id="207"/>
      <w:bookmarkEnd w:id="208"/>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每段玻璃钢排烟囱必须按3.9.1.1～3.9.1.6的要求进行外观、尺寸、巴氏硬度、力学性能检验。</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09" w:name="_Toc320802528"/>
      <w:bookmarkStart w:id="210" w:name="_Toc320802898"/>
      <w:bookmarkStart w:id="211" w:name="_Toc322418633"/>
      <w:r>
        <w:rPr>
          <w:rFonts w:hint="eastAsia" w:asciiTheme="minorEastAsia" w:hAnsiTheme="minorEastAsia" w:eastAsiaTheme="minorEastAsia" w:cstheme="minorEastAsia"/>
          <w:sz w:val="24"/>
          <w:szCs w:val="24"/>
          <w:lang w:val="en-US" w:eastAsia="zh-CN"/>
        </w:rPr>
        <w:t>4 检验取样与判定规则</w:t>
      </w:r>
      <w:bookmarkEnd w:id="209"/>
      <w:bookmarkEnd w:id="210"/>
      <w:bookmarkEnd w:id="21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12" w:name="_Toc320802529"/>
      <w:bookmarkStart w:id="213" w:name="_Toc320802899"/>
      <w:bookmarkStart w:id="214" w:name="_Toc322418634"/>
      <w:r>
        <w:rPr>
          <w:rFonts w:hint="eastAsia" w:asciiTheme="minorEastAsia" w:hAnsiTheme="minorEastAsia" w:eastAsiaTheme="minorEastAsia" w:cstheme="minorEastAsia"/>
          <w:sz w:val="24"/>
          <w:szCs w:val="24"/>
          <w:lang w:val="en-US" w:eastAsia="zh-CN"/>
        </w:rPr>
        <w:t>4.1 外观、尺寸、巴氏硬度</w:t>
      </w:r>
      <w:bookmarkEnd w:id="212"/>
      <w:bookmarkEnd w:id="213"/>
      <w:bookmarkEnd w:id="21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15" w:name="_Toc322418635"/>
      <w:bookmarkStart w:id="216" w:name="_Toc320802900"/>
      <w:bookmarkStart w:id="217" w:name="_Toc320802530"/>
      <w:r>
        <w:rPr>
          <w:rFonts w:hint="eastAsia" w:asciiTheme="minorEastAsia" w:hAnsiTheme="minorEastAsia" w:eastAsiaTheme="minorEastAsia" w:cstheme="minorEastAsia"/>
          <w:sz w:val="24"/>
          <w:szCs w:val="24"/>
          <w:lang w:val="en-US" w:eastAsia="zh-CN"/>
        </w:rPr>
        <w:t>4.1.1 取样方案：全部玻璃钢排烟囱逐段检验。</w:t>
      </w:r>
      <w:bookmarkEnd w:id="215"/>
      <w:bookmarkEnd w:id="216"/>
      <w:bookmarkEnd w:id="21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18" w:name="_Toc320802901"/>
      <w:bookmarkStart w:id="219" w:name="_Toc322418636"/>
      <w:bookmarkStart w:id="220" w:name="_Toc320802531"/>
      <w:r>
        <w:rPr>
          <w:rFonts w:hint="eastAsia" w:asciiTheme="minorEastAsia" w:hAnsiTheme="minorEastAsia" w:eastAsiaTheme="minorEastAsia" w:cstheme="minorEastAsia"/>
          <w:sz w:val="24"/>
          <w:szCs w:val="24"/>
          <w:lang w:val="en-US" w:eastAsia="zh-CN"/>
        </w:rPr>
        <w:t>4.1.2 判定规则：若检验项目全部合格，则判为合格，否则判为不合格。</w:t>
      </w:r>
      <w:bookmarkEnd w:id="218"/>
      <w:bookmarkEnd w:id="219"/>
      <w:bookmarkEnd w:id="22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21" w:name="_Toc322418637"/>
      <w:bookmarkStart w:id="222" w:name="_Toc320802902"/>
      <w:bookmarkStart w:id="223" w:name="_Toc320802532"/>
      <w:r>
        <w:rPr>
          <w:rFonts w:hint="eastAsia" w:asciiTheme="minorEastAsia" w:hAnsiTheme="minorEastAsia" w:eastAsiaTheme="minorEastAsia" w:cstheme="minorEastAsia"/>
          <w:sz w:val="24"/>
          <w:szCs w:val="24"/>
          <w:lang w:val="en-US" w:eastAsia="zh-CN"/>
        </w:rPr>
        <w:t>4.2 拉伸强度</w:t>
      </w:r>
      <w:bookmarkEnd w:id="221"/>
      <w:bookmarkEnd w:id="222"/>
      <w:bookmarkEnd w:id="223"/>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24" w:name="_Toc320802533"/>
      <w:bookmarkStart w:id="225" w:name="_Toc320802903"/>
      <w:bookmarkStart w:id="226" w:name="_Toc322418638"/>
      <w:r>
        <w:rPr>
          <w:rFonts w:hint="eastAsia" w:asciiTheme="minorEastAsia" w:hAnsiTheme="minorEastAsia" w:eastAsiaTheme="minorEastAsia" w:cstheme="minorEastAsia"/>
          <w:sz w:val="24"/>
          <w:szCs w:val="24"/>
          <w:lang w:val="en-US" w:eastAsia="zh-CN"/>
        </w:rPr>
        <w:t>4.2.1 取样方案：在进行粘接前，按预定的工艺方案，制作试样。每种试样的有效数量不得低于5个。</w:t>
      </w:r>
      <w:bookmarkEnd w:id="224"/>
      <w:bookmarkEnd w:id="225"/>
      <w:bookmarkEnd w:id="22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27" w:name="_Toc322418639"/>
      <w:bookmarkStart w:id="228" w:name="_Toc320802904"/>
      <w:bookmarkStart w:id="229" w:name="_Toc320802534"/>
      <w:r>
        <w:rPr>
          <w:rFonts w:hint="eastAsia" w:asciiTheme="minorEastAsia" w:hAnsiTheme="minorEastAsia" w:eastAsiaTheme="minorEastAsia" w:cstheme="minorEastAsia"/>
          <w:sz w:val="24"/>
          <w:szCs w:val="24"/>
          <w:lang w:val="en-US" w:eastAsia="zh-CN"/>
        </w:rPr>
        <w:t>4.2.2 判定规则：检验所抽样本，若全部合格则判该批为合格、若有不合格项，则重新做试样进行检测。如仍有不合格项，则需修改工艺方案，并重新做试样进行检测。</w:t>
      </w:r>
      <w:bookmarkEnd w:id="227"/>
      <w:bookmarkEnd w:id="228"/>
      <w:bookmarkEnd w:id="229"/>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30" w:name="_Toc320802905"/>
      <w:bookmarkStart w:id="231" w:name="_Toc320802535"/>
      <w:bookmarkStart w:id="232" w:name="_Toc322418640"/>
      <w:r>
        <w:rPr>
          <w:rFonts w:hint="eastAsia" w:asciiTheme="minorEastAsia" w:hAnsiTheme="minorEastAsia" w:eastAsiaTheme="minorEastAsia" w:cstheme="minorEastAsia"/>
          <w:sz w:val="24"/>
          <w:szCs w:val="24"/>
          <w:lang w:val="en-US" w:eastAsia="zh-CN"/>
        </w:rPr>
        <w:t>5 检验后的处理</w:t>
      </w:r>
      <w:bookmarkEnd w:id="230"/>
      <w:bookmarkEnd w:id="231"/>
      <w:bookmarkEnd w:id="232"/>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33" w:name="_Toc320802536"/>
      <w:bookmarkStart w:id="234" w:name="_Toc320802906"/>
      <w:bookmarkStart w:id="235" w:name="_Toc322418641"/>
      <w:r>
        <w:rPr>
          <w:rFonts w:hint="eastAsia" w:asciiTheme="minorEastAsia" w:hAnsiTheme="minorEastAsia" w:eastAsiaTheme="minorEastAsia" w:cstheme="minorEastAsia"/>
          <w:sz w:val="24"/>
          <w:szCs w:val="24"/>
          <w:lang w:val="en-US" w:eastAsia="zh-CN"/>
        </w:rPr>
        <w:t>5.1 对已判为合格的产品，使用方应全部接收；对于判为不合格的产品，未经使用方的同意，生产方不应在未作任何修复、处理的情况下全部或部分地、或与其他产品混合后再次重新提交检验。</w:t>
      </w:r>
      <w:bookmarkEnd w:id="233"/>
      <w:bookmarkEnd w:id="234"/>
      <w:bookmarkEnd w:id="23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36" w:name="_Toc322418642"/>
      <w:bookmarkStart w:id="237" w:name="_Toc320802907"/>
      <w:bookmarkStart w:id="238" w:name="_Toc320802537"/>
      <w:r>
        <w:rPr>
          <w:rFonts w:hint="eastAsia" w:asciiTheme="minorEastAsia" w:hAnsiTheme="minorEastAsia" w:eastAsiaTheme="minorEastAsia" w:cstheme="minorEastAsia"/>
          <w:sz w:val="24"/>
          <w:szCs w:val="24"/>
          <w:lang w:val="en-US" w:eastAsia="zh-CN"/>
        </w:rPr>
        <w:t>5.2 在已判为合格的产品中，如再发现不合格品，不影响已作出的判断，这些不合格品的处理由供需双方协商解决。</w:t>
      </w:r>
      <w:bookmarkEnd w:id="236"/>
      <w:bookmarkEnd w:id="237"/>
      <w:bookmarkEnd w:id="23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39" w:name="_Toc320802908"/>
      <w:bookmarkStart w:id="240" w:name="_Toc322418643"/>
      <w:bookmarkStart w:id="241" w:name="_Toc320802538"/>
      <w:r>
        <w:rPr>
          <w:rFonts w:hint="eastAsia" w:asciiTheme="minorEastAsia" w:hAnsiTheme="minorEastAsia" w:eastAsiaTheme="minorEastAsia" w:cstheme="minorEastAsia"/>
          <w:sz w:val="24"/>
          <w:szCs w:val="24"/>
          <w:lang w:val="en-US" w:eastAsia="zh-CN"/>
        </w:rPr>
        <w:t>5.3 按照产品的订货合同等文件的具体要求，可将不合格批进行筛选、修复，由供需双方协商解决。</w:t>
      </w:r>
      <w:bookmarkEnd w:id="239"/>
      <w:bookmarkEnd w:id="240"/>
      <w:bookmarkEnd w:id="24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42" w:name="_Toc320802909"/>
      <w:bookmarkStart w:id="243" w:name="_Toc320802539"/>
      <w:bookmarkStart w:id="244" w:name="_Toc322418644"/>
      <w:r>
        <w:rPr>
          <w:rFonts w:hint="eastAsia" w:asciiTheme="minorEastAsia" w:hAnsiTheme="minorEastAsia" w:eastAsiaTheme="minorEastAsia" w:cstheme="minorEastAsia"/>
          <w:sz w:val="24"/>
          <w:szCs w:val="24"/>
          <w:lang w:val="en-US" w:eastAsia="zh-CN"/>
        </w:rPr>
        <w:t>6 玻璃钢排烟囱制作与安装应满足的力学指标</w:t>
      </w:r>
      <w:bookmarkEnd w:id="242"/>
      <w:bookmarkEnd w:id="243"/>
      <w:bookmarkEnd w:id="24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45" w:name="_Toc320802910"/>
      <w:bookmarkStart w:id="246" w:name="_Toc320802540"/>
      <w:bookmarkStart w:id="247" w:name="_Toc322418645"/>
      <w:r>
        <w:rPr>
          <w:rFonts w:hint="eastAsia" w:asciiTheme="minorEastAsia" w:hAnsiTheme="minorEastAsia" w:eastAsiaTheme="minorEastAsia" w:cstheme="minorEastAsia"/>
          <w:sz w:val="24"/>
          <w:szCs w:val="24"/>
          <w:lang w:val="en-US" w:eastAsia="zh-CN"/>
        </w:rPr>
        <w:t>6.1 玻璃钢排烟囱轴向拉伸强度模量不小于14GPa、轴向抗拉强度不小于180MPa；环向拉伸强度模量不小于14GPa、环向抗拉强度不小于180MPa。；玻璃钢排烟囱接口拉伸强度不小于205MPa，层间剪切强度不小于10MPa。</w:t>
      </w:r>
      <w:bookmarkEnd w:id="245"/>
      <w:bookmarkEnd w:id="246"/>
      <w:bookmarkEnd w:id="24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48" w:name="_Toc322418646"/>
      <w:bookmarkStart w:id="249" w:name="_Toc320802541"/>
      <w:bookmarkStart w:id="250" w:name="_Toc320802911"/>
      <w:r>
        <w:rPr>
          <w:rFonts w:hint="eastAsia" w:asciiTheme="minorEastAsia" w:hAnsiTheme="minorEastAsia" w:eastAsiaTheme="minorEastAsia" w:cstheme="minorEastAsia"/>
          <w:sz w:val="24"/>
          <w:szCs w:val="24"/>
          <w:lang w:val="en-US" w:eastAsia="zh-CN"/>
        </w:rPr>
        <w:t>6.2 玻璃钢排烟囱的树脂不可溶份含量≥85%；结构层树脂含量35%～40%。</w:t>
      </w:r>
      <w:bookmarkEnd w:id="248"/>
      <w:bookmarkEnd w:id="249"/>
      <w:bookmarkEnd w:id="25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51" w:name="_Toc320802542"/>
      <w:bookmarkStart w:id="252" w:name="_Toc320802912"/>
      <w:bookmarkStart w:id="253" w:name="_Toc322418647"/>
      <w:r>
        <w:rPr>
          <w:rFonts w:hint="eastAsia" w:asciiTheme="minorEastAsia" w:hAnsiTheme="minorEastAsia" w:eastAsiaTheme="minorEastAsia" w:cstheme="minorEastAsia"/>
          <w:sz w:val="24"/>
          <w:szCs w:val="24"/>
          <w:lang w:val="en-US" w:eastAsia="zh-CN"/>
        </w:rPr>
        <w:t>6.3 玻璃钢排烟囱及接口90℃耐温20min强度保留率不小于75%。</w:t>
      </w:r>
      <w:bookmarkEnd w:id="251"/>
      <w:bookmarkEnd w:id="252"/>
      <w:bookmarkEnd w:id="253"/>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54" w:name="_Toc320802544"/>
      <w:bookmarkStart w:id="255" w:name="_Toc322418649"/>
      <w:bookmarkStart w:id="256" w:name="_Toc320802914"/>
      <w:r>
        <w:rPr>
          <w:rFonts w:hint="eastAsia" w:asciiTheme="minorEastAsia" w:hAnsiTheme="minorEastAsia" w:eastAsiaTheme="minorEastAsia" w:cstheme="minorEastAsia"/>
          <w:sz w:val="24"/>
          <w:szCs w:val="24"/>
          <w:lang w:val="en-US" w:eastAsia="zh-CN"/>
        </w:rPr>
        <w:t>7 判废和修复准则</w:t>
      </w:r>
      <w:bookmarkEnd w:id="254"/>
      <w:bookmarkEnd w:id="255"/>
      <w:bookmarkEnd w:id="25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57" w:name="_Toc320802915"/>
      <w:bookmarkStart w:id="258" w:name="_Toc320802545"/>
      <w:bookmarkStart w:id="259" w:name="_Toc322418650"/>
      <w:r>
        <w:rPr>
          <w:rFonts w:hint="eastAsia" w:asciiTheme="minorEastAsia" w:hAnsiTheme="minorEastAsia" w:eastAsiaTheme="minorEastAsia" w:cstheme="minorEastAsia"/>
          <w:sz w:val="24"/>
          <w:szCs w:val="24"/>
          <w:lang w:val="en-US" w:eastAsia="zh-CN"/>
        </w:rPr>
        <w:t>7.1 判废</w:t>
      </w:r>
      <w:bookmarkEnd w:id="257"/>
      <w:bookmarkEnd w:id="258"/>
      <w:bookmarkEnd w:id="259"/>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存在以下缺陷的过程和产品判废：</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(1)没有使用设计指定型号的树脂；</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(2)没有使用设计指定型号的玻璃纤维、织物及表面毡等；</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(3)排烟囱检验段轴向抗拉强度低于180MPa，轴向拉伸强度模量低于14GPa，环向拉伸强度低于180MPa，环向拉伸强度模量低于14GPa。</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(4)排烟囱接口检验段拉伸强度小于205MPa，层间剪切强度小于10MPa。</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(5)玻璃钢排烟囱的树脂不可溶份含量低于85%；结构层树脂含量低于35%；</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(6)塔内排烟囱总厚度低于19mm。</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(7)排烟囱直径超出±5mm公差要求。</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(8)排烟囱不圆度超出±10mm公差要求。</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(9)单向布无搭接或搭接少于300mm，层数不达标。</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(10)无表面层(胶衣色浆层)时最终巴氏硬度低于40。</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(11)加强筋制作没有按照设计要求制作。</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(12)管段连接没有按照设计要求制作。</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(13)修补太多及存在无法修补的地方。</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(14)当第一次取样力学指标不满足设计要求时，允许复测一次，但取样加倍。</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60" w:name="_Toc320802916"/>
      <w:bookmarkStart w:id="261" w:name="_Toc320802546"/>
      <w:bookmarkStart w:id="262" w:name="_Toc322418651"/>
      <w:r>
        <w:rPr>
          <w:rFonts w:hint="eastAsia" w:asciiTheme="minorEastAsia" w:hAnsiTheme="minorEastAsia" w:eastAsiaTheme="minorEastAsia" w:cstheme="minorEastAsia"/>
          <w:sz w:val="24"/>
          <w:szCs w:val="24"/>
          <w:lang w:val="en-US" w:eastAsia="zh-CN"/>
        </w:rPr>
        <w:t>7.2 修复</w:t>
      </w:r>
      <w:bookmarkEnd w:id="260"/>
      <w:bookmarkEnd w:id="261"/>
      <w:bookmarkEnd w:id="262"/>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存在以下缺陷的过程和问题需要修复：</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(1)蚀损斑：直径大于3mm、深或高大于3mm的凸凹；纤维明显外露；</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(2)气泡：表面层有直径大于10mm的气泡；表面层1平方分米范围内气泡超过7个；</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(3)表面裂纹：裂纹深度大于2mm；</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(4)结构层裂纹：裂纹深度大于设计厚度的20％，裂纹长度大于30mm；</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(5)起皱：起皱高度超过设计厚度的20％；</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(6)表面毡缺失；</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(7)刮伤；</w:t>
      </w:r>
    </w:p>
    <w:p>
      <w:pPr>
        <w:spacing w:line="360" w:lineRule="auto"/>
        <w:ind w:firstLine="482" w:firstLineChars="200"/>
        <w:rPr>
          <w:rFonts w:hint="eastAsia" w:asciiTheme="minorEastAsia" w:hAnsiTheme="minorEastAsia" w:eastAsiaTheme="minorEastAsia" w:cstheme="minorEastAsia"/>
          <w:b/>
          <w:bCs/>
          <w:sz w:val="24"/>
          <w:szCs w:val="24"/>
        </w:rPr>
      </w:pPr>
      <w:bookmarkStart w:id="263" w:name="_Toc320802547"/>
      <w:bookmarkStart w:id="264" w:name="_Toc320802917"/>
      <w:bookmarkStart w:id="265" w:name="_Toc322418652"/>
      <w:bookmarkStart w:id="266" w:name="_Toc353625148"/>
      <w:r>
        <w:rPr>
          <w:rFonts w:hint="eastAsia" w:asciiTheme="minorEastAsia" w:hAnsiTheme="minorEastAsia" w:eastAsiaTheme="minorEastAsia" w:cstheme="minorEastAsia"/>
          <w:b/>
          <w:bCs/>
          <w:sz w:val="24"/>
          <w:szCs w:val="24"/>
          <w:lang w:val="en-US" w:eastAsia="zh-CN"/>
        </w:rPr>
        <w:t>十、</w:t>
      </w:r>
      <w:r>
        <w:rPr>
          <w:rFonts w:hint="eastAsia" w:asciiTheme="minorEastAsia" w:hAnsiTheme="minorEastAsia" w:eastAsiaTheme="minorEastAsia" w:cstheme="minorEastAsia"/>
          <w:b/>
          <w:bCs/>
          <w:sz w:val="24"/>
          <w:szCs w:val="24"/>
        </w:rPr>
        <w:t>玻璃钢排烟囱制作质量控制</w:t>
      </w:r>
      <w:bookmarkEnd w:id="263"/>
      <w:bookmarkEnd w:id="264"/>
      <w:bookmarkEnd w:id="265"/>
      <w:bookmarkEnd w:id="26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67" w:name="_Toc320802548"/>
      <w:bookmarkStart w:id="268" w:name="_Toc320802918"/>
      <w:bookmarkStart w:id="269" w:name="_Toc322418653"/>
      <w:r>
        <w:rPr>
          <w:rFonts w:hint="eastAsia" w:asciiTheme="minorEastAsia" w:hAnsiTheme="minorEastAsia" w:eastAsiaTheme="minorEastAsia" w:cstheme="minorEastAsia"/>
          <w:sz w:val="24"/>
          <w:szCs w:val="24"/>
          <w:lang w:val="en-US" w:eastAsia="zh-CN"/>
        </w:rPr>
        <w:t>1.制作前质量管理</w:t>
      </w:r>
      <w:bookmarkEnd w:id="267"/>
      <w:bookmarkEnd w:id="268"/>
      <w:bookmarkEnd w:id="269"/>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70" w:name="_Toc322418654"/>
      <w:bookmarkStart w:id="271" w:name="_Toc320802919"/>
      <w:bookmarkStart w:id="272" w:name="_Toc320802549"/>
      <w:r>
        <w:rPr>
          <w:rFonts w:hint="eastAsia" w:asciiTheme="minorEastAsia" w:hAnsiTheme="minorEastAsia" w:eastAsiaTheme="minorEastAsia" w:cstheme="minorEastAsia"/>
          <w:sz w:val="24"/>
          <w:szCs w:val="24"/>
          <w:lang w:val="en-US" w:eastAsia="zh-CN"/>
        </w:rPr>
        <w:t>1.1 组织制作人员熟悉和会审设计图纸及相关资料，认真作好制作前的检查工作，严格图纸会审，优化施工方案，保留会审、会签记录。</w:t>
      </w:r>
      <w:bookmarkEnd w:id="270"/>
      <w:bookmarkEnd w:id="271"/>
      <w:bookmarkEnd w:id="272"/>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合同生效30天内，提供【玻璃钢排烟囱现场制作组织设计】文件，由监造组织监理、设计、、土建施工单位等进行评审，评审通过后按评审意见进行修改、完善后提供给各方正式文件，现场才能开始制作。</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73" w:name="_Toc322418655"/>
      <w:bookmarkStart w:id="274" w:name="_Toc320802920"/>
      <w:bookmarkStart w:id="275" w:name="_Toc320802550"/>
      <w:r>
        <w:rPr>
          <w:rFonts w:hint="eastAsia" w:asciiTheme="minorEastAsia" w:hAnsiTheme="minorEastAsia" w:eastAsiaTheme="minorEastAsia" w:cstheme="minorEastAsia"/>
          <w:sz w:val="24"/>
          <w:szCs w:val="24"/>
          <w:lang w:val="en-US" w:eastAsia="zh-CN"/>
        </w:rPr>
        <w:t>1.2 落实加工的各项设计要求，明确制作中采用的操作方法与技术措施、技术标准、质量标准及质量改进措施等，特别是关键部位，复杂问题，一定要讲清楚，作好书面交底，严格工艺纪律。</w:t>
      </w:r>
      <w:bookmarkEnd w:id="273"/>
      <w:bookmarkEnd w:id="274"/>
      <w:bookmarkEnd w:id="27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76" w:name="_Toc320802551"/>
      <w:bookmarkStart w:id="277" w:name="_Toc322418656"/>
      <w:bookmarkStart w:id="278" w:name="_Toc320802921"/>
      <w:r>
        <w:rPr>
          <w:rFonts w:hint="eastAsia" w:asciiTheme="minorEastAsia" w:hAnsiTheme="minorEastAsia" w:eastAsiaTheme="minorEastAsia" w:cstheme="minorEastAsia"/>
          <w:sz w:val="24"/>
          <w:szCs w:val="24"/>
          <w:lang w:val="en-US" w:eastAsia="zh-CN"/>
        </w:rPr>
        <w:t>1.3 制作前检查，做好技术复核，制作准备工作必须完善程序，在质检员的监督指导下，检查、复核制作中的重大操作技术工作，避免重大差错，坚决杜绝不合格品。</w:t>
      </w:r>
      <w:bookmarkEnd w:id="276"/>
      <w:bookmarkEnd w:id="277"/>
      <w:bookmarkEnd w:id="27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79" w:name="_Toc322418657"/>
      <w:bookmarkStart w:id="280" w:name="_Toc320802552"/>
      <w:bookmarkStart w:id="281" w:name="_Toc320802922"/>
      <w:r>
        <w:rPr>
          <w:rFonts w:hint="eastAsia" w:asciiTheme="minorEastAsia" w:hAnsiTheme="minorEastAsia" w:eastAsiaTheme="minorEastAsia" w:cstheme="minorEastAsia"/>
          <w:sz w:val="24"/>
          <w:szCs w:val="24"/>
          <w:lang w:val="en-US" w:eastAsia="zh-CN"/>
        </w:rPr>
        <w:t>1.4 作好设备、材料的验收和检测工作，所有材料须有产品合格证、质量验收报告等质量证明文件。</w:t>
      </w:r>
      <w:bookmarkEnd w:id="279"/>
      <w:bookmarkEnd w:id="280"/>
      <w:bookmarkEnd w:id="28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82" w:name="_Toc320802553"/>
      <w:bookmarkStart w:id="283" w:name="_Toc320802923"/>
      <w:bookmarkStart w:id="284" w:name="_Toc322418658"/>
      <w:r>
        <w:rPr>
          <w:rFonts w:hint="eastAsia" w:asciiTheme="minorEastAsia" w:hAnsiTheme="minorEastAsia" w:eastAsiaTheme="minorEastAsia" w:cstheme="minorEastAsia"/>
          <w:sz w:val="24"/>
          <w:szCs w:val="24"/>
          <w:lang w:val="en-US" w:eastAsia="zh-CN"/>
        </w:rPr>
        <w:t>1.5 做好制作设备的调试和评定工作。</w:t>
      </w:r>
      <w:bookmarkEnd w:id="282"/>
      <w:bookmarkEnd w:id="283"/>
      <w:bookmarkEnd w:id="28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85" w:name="_Toc322418659"/>
      <w:bookmarkStart w:id="286" w:name="_Toc320802554"/>
      <w:bookmarkStart w:id="287" w:name="_Toc320802924"/>
      <w:r>
        <w:rPr>
          <w:rFonts w:hint="eastAsia" w:asciiTheme="minorEastAsia" w:hAnsiTheme="minorEastAsia" w:eastAsiaTheme="minorEastAsia" w:cstheme="minorEastAsia"/>
          <w:sz w:val="24"/>
          <w:szCs w:val="24"/>
          <w:lang w:val="en-US" w:eastAsia="zh-CN"/>
        </w:rPr>
        <w:t>1.6 所有参加制作人员必须有制作两个以上工程类似产品的经验，所有人员严格按计划的分工开始为制作好准备工作。</w:t>
      </w:r>
      <w:bookmarkEnd w:id="285"/>
      <w:bookmarkEnd w:id="286"/>
      <w:bookmarkEnd w:id="28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88" w:name="_Toc322418660"/>
      <w:bookmarkStart w:id="289" w:name="_Toc320802925"/>
      <w:bookmarkStart w:id="290" w:name="_Toc320802555"/>
      <w:r>
        <w:rPr>
          <w:rFonts w:hint="eastAsia" w:asciiTheme="minorEastAsia" w:hAnsiTheme="minorEastAsia" w:eastAsiaTheme="minorEastAsia" w:cstheme="minorEastAsia"/>
          <w:sz w:val="24"/>
          <w:szCs w:val="24"/>
          <w:lang w:val="en-US" w:eastAsia="zh-CN"/>
        </w:rPr>
        <w:t>2.制作中的质量保证和安全措施</w:t>
      </w:r>
      <w:bookmarkEnd w:id="288"/>
      <w:bookmarkEnd w:id="289"/>
      <w:bookmarkEnd w:id="29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91" w:name="_Toc320802926"/>
      <w:bookmarkStart w:id="292" w:name="_Toc322418661"/>
      <w:bookmarkStart w:id="293" w:name="_Toc320802556"/>
      <w:r>
        <w:rPr>
          <w:rFonts w:hint="eastAsia" w:asciiTheme="minorEastAsia" w:hAnsiTheme="minorEastAsia" w:eastAsiaTheme="minorEastAsia" w:cstheme="minorEastAsia"/>
          <w:sz w:val="24"/>
          <w:szCs w:val="24"/>
          <w:lang w:val="en-US" w:eastAsia="zh-CN"/>
        </w:rPr>
        <w:t>2.1 质量预防措施</w:t>
      </w:r>
      <w:bookmarkEnd w:id="291"/>
      <w:bookmarkEnd w:id="292"/>
      <w:bookmarkEnd w:id="29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(1)要素控制：影响质量的因素主要有人员、器具、方法、操作和程序管理、材料、环境等方面。人员要求持证上岗，使用经检定和校检合格的测量器具，测量方法要科学、合理、操作规范。</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(2)过程控制:要确保测量工作在受控状态下进行，经自检、互检合格后，方可进入下一步工序。对测量记录的要求是原始真实、数字正确、内容完整、字体工整。记录人员应对随时校对观测所得数据是否正确。</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(3)检验控制：检查验收测量成果时应符合规范标准要求，必须独立进行，检查验收部位是关键环节与薄弱部位。</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294" w:name="_Toc320802927"/>
      <w:bookmarkStart w:id="295" w:name="_Toc322418662"/>
      <w:bookmarkStart w:id="296" w:name="_Toc320802557"/>
      <w:r>
        <w:rPr>
          <w:rFonts w:hint="eastAsia" w:asciiTheme="minorEastAsia" w:hAnsiTheme="minorEastAsia" w:eastAsiaTheme="minorEastAsia" w:cstheme="minorEastAsia"/>
          <w:sz w:val="24"/>
          <w:szCs w:val="24"/>
          <w:lang w:val="en-US" w:eastAsia="zh-CN"/>
        </w:rPr>
        <w:t>2.2 质量保证措施</w:t>
      </w:r>
      <w:bookmarkEnd w:id="294"/>
      <w:bookmarkEnd w:id="295"/>
      <w:bookmarkEnd w:id="296"/>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(1)制作前：制作负责人组织技术人员、质量员、制作人员认真学习和阅读施工图纸及相关规范，并针对本工程制定的方案、规定达到共识，了解和掌握设计意图、工程特点、难点等。</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(2)针对本产品的技术重点和施工难点，组织调研和讨论，确保工程质量。</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(3)针对影响质量的关键部位和容易出现质量通病的环节，施行全面的质量管理，专人负责。</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(4)制作负责人把工作重点放在抓管理，提高工程质量上，通过各种形式，加强对员工的教育，不断提高工作责任心和质量意识。</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(5)严格技术复核和技术交底。</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(6)技术员在制作过程中，及时按有关规定收集和整理好有关的技术资料、质保资料、自检资格等，保证资料整齐完善，随时检查，随时备查。</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(7)制作中，严格按照施工图纸、制作规范和操作规定组织制作严禁私自更改设计，如有问题，必须通过办理变更通知或技术核定单，经技术单位同意后，方可制作。</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(8)把好材料质量关，原材料必须经过进行质量抽查，原材料要具备出厂合格或法定检验单位出具的合格证明。</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(9)配备完整的检测器具，加强计量工作，所有计量器具必须符合要求后才能使用。</w:t>
      </w:r>
      <w:bookmarkStart w:id="297" w:name="_Hlt79487762"/>
      <w:bookmarkEnd w:id="297"/>
      <w:bookmarkStart w:id="298" w:name="_Hlt78000770"/>
      <w:bookmarkEnd w:id="298"/>
      <w:bookmarkStart w:id="299" w:name="_Hlt78005421"/>
      <w:bookmarkEnd w:id="299"/>
    </w:p>
    <w:p>
      <w:pPr>
        <w:spacing w:line="360" w:lineRule="auto"/>
        <w:ind w:firstLine="480" w:firstLineChars="200"/>
        <w:rPr>
          <w:rFonts w:hint="eastAsia" w:asciiTheme="minorEastAsia" w:hAnsiTheme="minorEastAsia" w:eastAsiaTheme="minorEastAsia" w:cstheme="minorEastAsia"/>
          <w:sz w:val="24"/>
          <w:szCs w:val="24"/>
        </w:rPr>
      </w:pPr>
      <w:bookmarkStart w:id="300" w:name="_Toc322782480"/>
      <w:bookmarkStart w:id="301" w:name="_Toc323932747"/>
      <w:bookmarkStart w:id="302" w:name="_Toc353625149"/>
      <w:r>
        <w:rPr>
          <w:rFonts w:hint="eastAsia" w:asciiTheme="minorEastAsia" w:hAnsiTheme="minorEastAsia" w:eastAsiaTheme="minorEastAsia" w:cstheme="minorEastAsia"/>
          <w:sz w:val="24"/>
          <w:szCs w:val="24"/>
          <w:lang w:val="en-US" w:eastAsia="zh-CN"/>
        </w:rPr>
        <w:t>十一、</w:t>
      </w:r>
      <w:r>
        <w:rPr>
          <w:rFonts w:hint="eastAsia" w:asciiTheme="minorEastAsia" w:hAnsiTheme="minorEastAsia" w:eastAsiaTheme="minorEastAsia" w:cstheme="minorEastAsia"/>
          <w:sz w:val="24"/>
          <w:szCs w:val="24"/>
        </w:rPr>
        <w:t>质量工作计划</w:t>
      </w:r>
      <w:bookmarkEnd w:id="300"/>
      <w:bookmarkEnd w:id="301"/>
      <w:bookmarkEnd w:id="302"/>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03" w:name="_Toc322736615"/>
      <w:bookmarkStart w:id="304" w:name="_Toc322782481"/>
      <w:bookmarkStart w:id="305" w:name="_Toc323932748"/>
      <w:r>
        <w:rPr>
          <w:rFonts w:hint="eastAsia" w:asciiTheme="minorEastAsia" w:hAnsiTheme="minorEastAsia" w:eastAsiaTheme="minorEastAsia" w:cstheme="minorEastAsia"/>
          <w:sz w:val="24"/>
          <w:szCs w:val="24"/>
          <w:lang w:val="en-US" w:eastAsia="zh-CN"/>
        </w:rPr>
        <w:t>1.目的</w:t>
      </w:r>
      <w:bookmarkEnd w:id="303"/>
      <w:bookmarkEnd w:id="304"/>
      <w:bookmarkEnd w:id="305"/>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对此项目产品生产制作全过程的质量控制，包括人员的组织、项目进度控制、资源配置、生产工艺过程控制、质量控制点的控制，确保产品质量符合产品相关标准和顾客要求，让顾客满意。</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06" w:name="_Toc322782482"/>
      <w:bookmarkStart w:id="307" w:name="_Toc323932749"/>
      <w:bookmarkStart w:id="308" w:name="_Toc322736616"/>
      <w:r>
        <w:rPr>
          <w:rFonts w:hint="eastAsia" w:asciiTheme="minorEastAsia" w:hAnsiTheme="minorEastAsia" w:eastAsiaTheme="minorEastAsia" w:cstheme="minorEastAsia"/>
          <w:sz w:val="24"/>
          <w:szCs w:val="24"/>
          <w:lang w:val="en-US" w:eastAsia="zh-CN"/>
        </w:rPr>
        <w:t>2.适用范围</w:t>
      </w:r>
      <w:bookmarkEnd w:id="306"/>
      <w:bookmarkEnd w:id="307"/>
      <w:bookmarkEnd w:id="308"/>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本质量工作计划适用于此项目烟囱生产全过程的控制。</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09" w:name="_Toc322736617"/>
      <w:bookmarkStart w:id="310" w:name="_Toc323932750"/>
      <w:bookmarkStart w:id="311" w:name="_Toc322782483"/>
      <w:r>
        <w:rPr>
          <w:rFonts w:hint="eastAsia" w:asciiTheme="minorEastAsia" w:hAnsiTheme="minorEastAsia" w:eastAsiaTheme="minorEastAsia" w:cstheme="minorEastAsia"/>
          <w:sz w:val="24"/>
          <w:szCs w:val="24"/>
          <w:lang w:val="en-US" w:eastAsia="zh-CN"/>
        </w:rPr>
        <w:t>3.职责</w:t>
      </w:r>
      <w:bookmarkEnd w:id="309"/>
      <w:bookmarkEnd w:id="310"/>
      <w:bookmarkEnd w:id="31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12" w:name="_Toc322782484"/>
      <w:bookmarkStart w:id="313" w:name="_Toc322736618"/>
      <w:r>
        <w:rPr>
          <w:rFonts w:hint="eastAsia" w:asciiTheme="minorEastAsia" w:hAnsiTheme="minorEastAsia" w:eastAsiaTheme="minorEastAsia" w:cstheme="minorEastAsia"/>
          <w:sz w:val="24"/>
          <w:szCs w:val="24"/>
          <w:lang w:val="en-US" w:eastAsia="zh-CN"/>
        </w:rPr>
        <w:t>3.1 公司经理负责该质量工作计划实施过程中的组织、指挥和协调工作，项目经理全面负责该质量工作计划的实施，确保质量计划实现。</w:t>
      </w:r>
      <w:bookmarkEnd w:id="312"/>
      <w:bookmarkEnd w:id="313"/>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14" w:name="_Toc322736619"/>
      <w:bookmarkStart w:id="315" w:name="_Toc322782485"/>
      <w:r>
        <w:rPr>
          <w:rFonts w:hint="eastAsia" w:asciiTheme="minorEastAsia" w:hAnsiTheme="minorEastAsia" w:eastAsiaTheme="minorEastAsia" w:cstheme="minorEastAsia"/>
          <w:sz w:val="24"/>
          <w:szCs w:val="24"/>
          <w:lang w:val="en-US" w:eastAsia="zh-CN"/>
        </w:rPr>
        <w:t>3.2 技术部负责质量计划生产进度计划的编制、产品设计方案的制订、产品生产工艺文件的制订，及时解决生产过程中出现的问题。</w:t>
      </w:r>
      <w:bookmarkEnd w:id="314"/>
      <w:bookmarkEnd w:id="31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16" w:name="_Toc322736620"/>
      <w:bookmarkStart w:id="317" w:name="_Toc322782486"/>
      <w:r>
        <w:rPr>
          <w:rFonts w:hint="eastAsia" w:asciiTheme="minorEastAsia" w:hAnsiTheme="minorEastAsia" w:eastAsiaTheme="minorEastAsia" w:cstheme="minorEastAsia"/>
          <w:sz w:val="24"/>
          <w:szCs w:val="24"/>
          <w:lang w:val="en-US" w:eastAsia="zh-CN"/>
        </w:rPr>
        <w:t>3.3 质检部负责质量计划原辅材料、过程产品和产成品的检验和试验。</w:t>
      </w:r>
      <w:bookmarkEnd w:id="316"/>
      <w:bookmarkEnd w:id="31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18" w:name="_Toc322736622"/>
      <w:bookmarkStart w:id="319" w:name="_Toc322782488"/>
      <w:r>
        <w:rPr>
          <w:rFonts w:hint="eastAsia" w:asciiTheme="minorEastAsia" w:hAnsiTheme="minorEastAsia" w:eastAsiaTheme="minorEastAsia" w:cstheme="minorEastAsia"/>
          <w:sz w:val="24"/>
          <w:szCs w:val="24"/>
          <w:lang w:val="en-US" w:eastAsia="zh-CN"/>
        </w:rPr>
        <w:t>3.4 项目生产部：负责质量计划中生产任务合理组织和协调，按生产进度计划组织生产，负责生产过程控制及现场设备的维护、保养。</w:t>
      </w:r>
      <w:bookmarkEnd w:id="318"/>
      <w:bookmarkEnd w:id="319"/>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20" w:name="_Toc322736623"/>
      <w:bookmarkStart w:id="321" w:name="_Toc322782489"/>
      <w:r>
        <w:rPr>
          <w:rFonts w:hint="eastAsia" w:asciiTheme="minorEastAsia" w:hAnsiTheme="minorEastAsia" w:eastAsiaTheme="minorEastAsia" w:cstheme="minorEastAsia"/>
          <w:sz w:val="24"/>
          <w:szCs w:val="24"/>
          <w:lang w:val="en-US" w:eastAsia="zh-CN"/>
        </w:rPr>
        <w:t>3.5 市场部：负责质量计划中进行内外协调和沟通，做好服务及其它的相关工作。</w:t>
      </w:r>
      <w:bookmarkEnd w:id="320"/>
      <w:bookmarkEnd w:id="321"/>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22" w:name="_Toc322736624"/>
      <w:bookmarkStart w:id="323" w:name="_Toc322782490"/>
      <w:r>
        <w:rPr>
          <w:rFonts w:hint="eastAsia" w:asciiTheme="minorEastAsia" w:hAnsiTheme="minorEastAsia" w:eastAsiaTheme="minorEastAsia" w:cstheme="minorEastAsia"/>
          <w:sz w:val="24"/>
          <w:szCs w:val="24"/>
          <w:lang w:val="en-US" w:eastAsia="zh-CN"/>
        </w:rPr>
        <w:t>4.质量工作计划</w:t>
      </w:r>
      <w:bookmarkEnd w:id="322"/>
      <w:bookmarkEnd w:id="32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4.1 项目主要人员分工和进度控制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4.1.1 公司根据合同评审要求，为保证项目的实施，在项目施工前会根据部职能部六确定本项目主要责任人，如下表：</w:t>
      </w:r>
    </w:p>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项目组主要人员</w:t>
      </w:r>
    </w:p>
    <w:tbl>
      <w:tblPr>
        <w:tblStyle w:val="15"/>
        <w:tblW w:w="7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2908"/>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职能</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部门</w:t>
            </w:r>
          </w:p>
        </w:tc>
        <w:tc>
          <w:tcPr>
            <w:tcW w:w="2110"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综合管理部</w:t>
            </w:r>
          </w:p>
        </w:tc>
        <w:tc>
          <w:tcPr>
            <w:tcW w:w="2110" w:type="dxa"/>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沈大亚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技术经理</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技术部</w:t>
            </w:r>
          </w:p>
        </w:tc>
        <w:tc>
          <w:tcPr>
            <w:tcW w:w="2110" w:type="dxa"/>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朱洪海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质量检验</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质检部</w:t>
            </w:r>
          </w:p>
        </w:tc>
        <w:tc>
          <w:tcPr>
            <w:tcW w:w="2110" w:type="dxa"/>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朱彦兵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生产经理</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生产部</w:t>
            </w:r>
          </w:p>
        </w:tc>
        <w:tc>
          <w:tcPr>
            <w:tcW w:w="2110" w:type="dxa"/>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市场经理</w:t>
            </w:r>
          </w:p>
        </w:tc>
        <w:tc>
          <w:tcPr>
            <w:tcW w:w="2908"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市场部</w:t>
            </w:r>
          </w:p>
        </w:tc>
        <w:tc>
          <w:tcPr>
            <w:tcW w:w="2110" w:type="dxa"/>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胡甘泉</w:t>
            </w:r>
          </w:p>
        </w:tc>
      </w:tr>
    </w:tbl>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24" w:name="_Toc322782491"/>
      <w:bookmarkStart w:id="325" w:name="_Toc322736625"/>
      <w:r>
        <w:rPr>
          <w:rFonts w:hint="eastAsia" w:asciiTheme="minorEastAsia" w:hAnsiTheme="minorEastAsia" w:eastAsiaTheme="minorEastAsia" w:cstheme="minorEastAsia"/>
          <w:sz w:val="24"/>
          <w:szCs w:val="24"/>
          <w:lang w:val="en-US" w:eastAsia="zh-CN"/>
        </w:rPr>
        <w:t>4.1.2根据项目要求由项目负责人确定项目组人员的分工，确定各人员的主要工作。确定项目产品的质量要求，确定项目的进度安排。</w:t>
      </w:r>
      <w:bookmarkEnd w:id="324"/>
      <w:bookmarkEnd w:id="325"/>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26" w:name="_Toc322782492"/>
      <w:bookmarkStart w:id="327" w:name="_Toc322736626"/>
      <w:r>
        <w:rPr>
          <w:rFonts w:hint="eastAsia" w:asciiTheme="minorEastAsia" w:hAnsiTheme="minorEastAsia" w:eastAsiaTheme="minorEastAsia" w:cstheme="minorEastAsia"/>
          <w:sz w:val="24"/>
          <w:szCs w:val="24"/>
          <w:lang w:val="en-US" w:eastAsia="zh-CN"/>
        </w:rPr>
        <w:t>4.1.3各部门根据进度要求制订本部门具体工作计划，在部门内部进一步分解落实质量工作计划的各项具体工作内容。</w:t>
      </w:r>
      <w:bookmarkEnd w:id="326"/>
      <w:bookmarkEnd w:id="327"/>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28" w:name="_Toc322782493"/>
      <w:bookmarkStart w:id="329" w:name="_Toc322736627"/>
      <w:r>
        <w:rPr>
          <w:rFonts w:hint="eastAsia" w:asciiTheme="minorEastAsia" w:hAnsiTheme="minorEastAsia" w:eastAsiaTheme="minorEastAsia" w:cstheme="minorEastAsia"/>
          <w:sz w:val="24"/>
          <w:szCs w:val="24"/>
          <w:lang w:val="en-US" w:eastAsia="zh-CN"/>
        </w:rPr>
        <w:t>4.1.4各部门及时向总负责人报告本部门工作计划进展情况，并及时反馈顾客要求或其它的信息。</w:t>
      </w:r>
      <w:bookmarkEnd w:id="328"/>
      <w:bookmarkEnd w:id="329"/>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30" w:name="_Toc322736628"/>
      <w:bookmarkStart w:id="331" w:name="_Toc322782494"/>
      <w:r>
        <w:rPr>
          <w:rFonts w:hint="eastAsia" w:asciiTheme="minorEastAsia" w:hAnsiTheme="minorEastAsia" w:eastAsiaTheme="minorEastAsia" w:cstheme="minorEastAsia"/>
          <w:sz w:val="24"/>
          <w:szCs w:val="24"/>
          <w:lang w:val="en-US" w:eastAsia="zh-CN"/>
        </w:rPr>
        <w:t>4.2 质量计划执行的依据：</w:t>
      </w:r>
      <w:bookmarkEnd w:id="330"/>
      <w:bookmarkEnd w:id="331"/>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公司制订的质量体系文件</w:t>
      </w:r>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相关材料和产品生产、制造、检验执行标准和设计图纸、要求。</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32" w:name="_Toc322782495"/>
      <w:bookmarkStart w:id="333" w:name="_Toc322736629"/>
      <w:r>
        <w:rPr>
          <w:rFonts w:hint="eastAsia" w:asciiTheme="minorEastAsia" w:hAnsiTheme="minorEastAsia" w:eastAsiaTheme="minorEastAsia" w:cstheme="minorEastAsia"/>
          <w:sz w:val="24"/>
          <w:szCs w:val="24"/>
          <w:lang w:val="en-US" w:eastAsia="zh-CN"/>
        </w:rPr>
        <w:t>4.3 项目工艺过程控制</w:t>
      </w:r>
      <w:bookmarkEnd w:id="332"/>
      <w:bookmarkEnd w:id="333"/>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34" w:name="_Toc322736630"/>
      <w:bookmarkStart w:id="335" w:name="_Toc322782496"/>
      <w:r>
        <w:rPr>
          <w:rFonts w:hint="eastAsia" w:asciiTheme="minorEastAsia" w:hAnsiTheme="minorEastAsia" w:eastAsiaTheme="minorEastAsia" w:cstheme="minorEastAsia"/>
          <w:sz w:val="24"/>
          <w:szCs w:val="24"/>
          <w:lang w:val="en-US" w:eastAsia="zh-CN"/>
        </w:rPr>
        <w:t>4.3.1 生产工艺文件编制</w:t>
      </w:r>
      <w:bookmarkEnd w:id="334"/>
      <w:bookmarkEnd w:id="335"/>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产工艺文件编制按公司制订的文件控制程序和设计开发程序执行，技术部负责生产工艺文件的编制，生产工艺文件的内容包括：工程说明、产品图纸、生产工艺单、材料定额表、技术说明、项目预算、特殊材料和配件计划、工艺文件、发货单等。</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36" w:name="_Toc322782497"/>
      <w:bookmarkStart w:id="337" w:name="_Toc322736631"/>
      <w:r>
        <w:rPr>
          <w:rFonts w:hint="eastAsia" w:asciiTheme="minorEastAsia" w:hAnsiTheme="minorEastAsia" w:eastAsiaTheme="minorEastAsia" w:cstheme="minorEastAsia"/>
          <w:sz w:val="24"/>
          <w:szCs w:val="24"/>
          <w:lang w:val="en-US" w:eastAsia="zh-CN"/>
        </w:rPr>
        <w:t>4.3.2 工艺跟踪检查</w:t>
      </w:r>
      <w:bookmarkEnd w:id="336"/>
      <w:bookmarkEnd w:id="337"/>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技术部负责项目实施全过程的工艺实施情况的跟踪检查，对于工艺过程中出现的问题及时作出处理，并对实施过程进行监督，进行工艺执行效果记录评价。</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38" w:name="_Toc322736632"/>
      <w:bookmarkStart w:id="339" w:name="_Toc322782498"/>
      <w:r>
        <w:rPr>
          <w:rFonts w:hint="eastAsia" w:asciiTheme="minorEastAsia" w:hAnsiTheme="minorEastAsia" w:eastAsiaTheme="minorEastAsia" w:cstheme="minorEastAsia"/>
          <w:sz w:val="24"/>
          <w:szCs w:val="24"/>
          <w:lang w:val="en-US" w:eastAsia="zh-CN"/>
        </w:rPr>
        <w:t>4.3.3 生产工艺更改</w:t>
      </w:r>
      <w:bookmarkEnd w:id="338"/>
      <w:bookmarkEnd w:id="339"/>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生产工艺实施过程中，根据工艺跟踪检查的结果，如发现工艺不适应项目实际情况，或者有新的工艺方法能更好地达到质量要求，需要对工艺文件进行修改，技术中心根据文件控制程序的要求有权对工艺作出修改，并得到技术负责人的认可，必要时需得到业主或工程公司及相关部门的确认。</w:t>
      </w: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40" w:name="_Toc322736633"/>
      <w:bookmarkStart w:id="341" w:name="_Toc322782499"/>
      <w:r>
        <w:rPr>
          <w:rFonts w:hint="eastAsia" w:asciiTheme="minorEastAsia" w:hAnsiTheme="minorEastAsia" w:eastAsiaTheme="minorEastAsia" w:cstheme="minorEastAsia"/>
          <w:sz w:val="24"/>
          <w:szCs w:val="24"/>
          <w:lang w:val="en-US" w:eastAsia="zh-CN"/>
        </w:rPr>
        <w:t xml:space="preserve">4.4 </w:t>
      </w:r>
      <w:bookmarkEnd w:id="340"/>
      <w:bookmarkEnd w:id="341"/>
      <w:bookmarkStart w:id="342" w:name="_Toc322736635"/>
      <w:bookmarkStart w:id="343" w:name="_Toc322782501"/>
      <w:r>
        <w:rPr>
          <w:rFonts w:hint="eastAsia" w:asciiTheme="minorEastAsia" w:hAnsiTheme="minorEastAsia" w:eastAsiaTheme="minorEastAsia" w:cstheme="minorEastAsia"/>
          <w:sz w:val="24"/>
          <w:szCs w:val="24"/>
          <w:lang w:val="en-US" w:eastAsia="zh-CN"/>
        </w:rPr>
        <w:t>产品的过程质量控制点的检验和试验</w:t>
      </w:r>
      <w:bookmarkEnd w:id="342"/>
      <w:bookmarkEnd w:id="343"/>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品的检验和试验按公司制订的产品的监视和测量控制程序执行，产品检验和试验分为过程检验和最终检验和试验，烟囱的生产过程为典型的特殊生产过程,需要设置质量控制点进行控制，在生产工艺文件中根据生产过程的控制要求，对各个质控点确定检验标准和检验方法，同时各生产过程控制人员对各质控点进行自检、巡检和专检的三委托检验制度，确定了检验责任人以及检验方法和记录。在生产过程对产品进行工艺监督、巡回检验，发现问题及时纠正，确保不合格的半成品不流入下道工序。</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质量控制点设置及检验见下表</w:t>
      </w:r>
    </w:p>
    <w:tbl>
      <w:tblPr>
        <w:tblStyle w:val="15"/>
        <w:tblW w:w="8140" w:type="dxa"/>
        <w:jc w:val="center"/>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670"/>
        <w:gridCol w:w="2894"/>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内容</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要求</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原材料验收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模具的验收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内衬层的验收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结构层的验收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防老化层的验收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接缝的验收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接管的验收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8"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670"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尺寸验收</w:t>
            </w:r>
          </w:p>
        </w:tc>
        <w:tc>
          <w:tcPr>
            <w:tcW w:w="2894"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HG/T20696-1999</w:t>
            </w:r>
          </w:p>
        </w:tc>
        <w:tc>
          <w:tcPr>
            <w:tcW w:w="1628" w:type="dxa"/>
            <w:vAlign w:val="center"/>
          </w:tcPr>
          <w:p>
            <w:pPr>
              <w:spacing w:line="360" w:lineRule="auto"/>
              <w:jc w:val="center"/>
              <w:rPr>
                <w:rFonts w:hint="eastAsia" w:asciiTheme="minorEastAsia" w:hAnsiTheme="minorEastAsia" w:eastAsiaTheme="minorEastAsia" w:cstheme="minorEastAsia"/>
                <w:sz w:val="21"/>
                <w:szCs w:val="21"/>
              </w:rPr>
            </w:pPr>
          </w:p>
        </w:tc>
      </w:tr>
    </w:tbl>
    <w:p>
      <w:pPr>
        <w:spacing w:line="360" w:lineRule="auto"/>
        <w:ind w:firstLine="480" w:firstLineChars="200"/>
        <w:rPr>
          <w:rFonts w:hint="eastAsia" w:asciiTheme="minorEastAsia" w:hAnsiTheme="minorEastAsia" w:eastAsiaTheme="minorEastAsia" w:cstheme="minorEastAsia"/>
          <w:sz w:val="24"/>
          <w:szCs w:val="24"/>
        </w:rPr>
      </w:pPr>
      <w:bookmarkStart w:id="344" w:name="_Toc322736636"/>
      <w:bookmarkStart w:id="345" w:name="_Toc322782502"/>
      <w:r>
        <w:rPr>
          <w:rFonts w:hint="eastAsia" w:asciiTheme="minorEastAsia" w:hAnsiTheme="minorEastAsia" w:eastAsiaTheme="minorEastAsia" w:cstheme="minorEastAsia"/>
          <w:sz w:val="24"/>
          <w:szCs w:val="24"/>
        </w:rPr>
        <w:t>4.5  产品最终检验和试验</w:t>
      </w:r>
      <w:bookmarkEnd w:id="344"/>
      <w:bookmarkEnd w:id="345"/>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品的最终检验和试验按公司制订的产品的监视和测量控制程序执行，产品的最终检验必须在生产产品完成后，各过程质量控制点检均合格的前提下进行，最终检验和试验时由人方会同业主、工程质量监理部门等相关部门共同进行，对产品的各项质量指标进行质量判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如果需要，可委托供需双方协商认可的国内权威的质量检测和试验机构进行玻璃钢烟囱的试验，试验的结果作为双方共同认可的质量判定的依据。</w:t>
      </w:r>
    </w:p>
    <w:p>
      <w:pPr>
        <w:spacing w:line="360" w:lineRule="auto"/>
        <w:ind w:firstLine="480" w:firstLineChars="200"/>
        <w:rPr>
          <w:rFonts w:hint="eastAsia" w:asciiTheme="minorEastAsia" w:hAnsiTheme="minorEastAsia" w:eastAsiaTheme="minorEastAsia" w:cstheme="minorEastAsia"/>
          <w:sz w:val="24"/>
          <w:szCs w:val="24"/>
        </w:rPr>
      </w:pPr>
      <w:bookmarkStart w:id="346" w:name="_Toc322736637"/>
      <w:bookmarkStart w:id="347" w:name="_Toc322782503"/>
      <w:r>
        <w:rPr>
          <w:rFonts w:hint="eastAsia" w:asciiTheme="minorEastAsia" w:hAnsiTheme="minorEastAsia" w:eastAsiaTheme="minorEastAsia" w:cstheme="minorEastAsia"/>
          <w:sz w:val="24"/>
          <w:szCs w:val="24"/>
        </w:rPr>
        <w:t>4.6 生产设备控制</w:t>
      </w:r>
      <w:bookmarkEnd w:id="346"/>
      <w:bookmarkEnd w:id="347"/>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生产设备的控制按公司制订质量手册中设施和工作环境控制的相关要求执行，同时，根据此项目的要求，必须强化以下几方面工作：</w:t>
      </w:r>
    </w:p>
    <w:p>
      <w:pPr>
        <w:spacing w:line="360" w:lineRule="auto"/>
        <w:ind w:firstLine="480" w:firstLineChars="200"/>
        <w:rPr>
          <w:rFonts w:hint="eastAsia" w:asciiTheme="minorEastAsia" w:hAnsiTheme="minorEastAsia" w:eastAsiaTheme="minorEastAsia" w:cstheme="minorEastAsia"/>
          <w:sz w:val="24"/>
          <w:szCs w:val="24"/>
        </w:rPr>
      </w:pPr>
      <w:bookmarkStart w:id="348" w:name="_Toc322736638"/>
      <w:bookmarkStart w:id="349" w:name="_Toc322782504"/>
      <w:r>
        <w:rPr>
          <w:rFonts w:hint="eastAsia" w:asciiTheme="minorEastAsia" w:hAnsiTheme="minorEastAsia" w:eastAsiaTheme="minorEastAsia" w:cstheme="minorEastAsia"/>
          <w:sz w:val="24"/>
          <w:szCs w:val="24"/>
        </w:rPr>
        <w:t>4.6.1设备保证能力</w:t>
      </w:r>
      <w:bookmarkEnd w:id="348"/>
      <w:bookmarkEnd w:id="34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要对生产设备，主要指同步皮带、轴承、橡胶密封件、喷枪备件、金刚面砂轮等备品备件进行核对，要保证有足够的储存量。</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要对生产设备巡检，设备部不少于一次、生产部门不少于两次，对运转部位、发热、振动、松动、漏油及润滑状况进行检查</w:t>
      </w:r>
    </w:p>
    <w:p>
      <w:pPr>
        <w:spacing w:line="360" w:lineRule="auto"/>
        <w:ind w:firstLine="480" w:firstLineChars="200"/>
        <w:rPr>
          <w:rFonts w:hint="eastAsia" w:asciiTheme="minorEastAsia" w:hAnsiTheme="minorEastAsia" w:eastAsiaTheme="minorEastAsia" w:cstheme="minorEastAsia"/>
          <w:sz w:val="24"/>
          <w:szCs w:val="24"/>
        </w:rPr>
      </w:pPr>
      <w:bookmarkStart w:id="350" w:name="_Toc322782505"/>
      <w:bookmarkStart w:id="351" w:name="_Toc322736639"/>
      <w:r>
        <w:rPr>
          <w:rFonts w:hint="eastAsia" w:asciiTheme="minorEastAsia" w:hAnsiTheme="minorEastAsia" w:eastAsiaTheme="minorEastAsia" w:cstheme="minorEastAsia"/>
          <w:sz w:val="24"/>
          <w:szCs w:val="24"/>
        </w:rPr>
        <w:t>4.6.2 产品质量保证</w:t>
      </w:r>
      <w:bookmarkEnd w:id="350"/>
      <w:bookmarkEnd w:id="351"/>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要对缠绕机排纱精度进行检测，每3天检测一次，要求排纱精度±0.1mm。</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要及时检查设备运转的平稳性，保证设备在运转时的垂直度和平稳性，从而保证产品的整体的垂直度。</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要及时检查计算机系统的稳定性，保证在生产过程中不产生死机或停机现象。从而保证产品的质量。</w:t>
      </w:r>
    </w:p>
    <w:p>
      <w:pPr>
        <w:spacing w:line="360" w:lineRule="auto"/>
        <w:ind w:firstLine="480" w:firstLineChars="200"/>
        <w:rPr>
          <w:rFonts w:hint="eastAsia" w:asciiTheme="minorEastAsia" w:hAnsiTheme="minorEastAsia" w:eastAsiaTheme="minorEastAsia" w:cstheme="minorEastAsia"/>
          <w:sz w:val="24"/>
          <w:szCs w:val="24"/>
        </w:rPr>
      </w:pPr>
      <w:bookmarkStart w:id="352" w:name="_Toc322736640"/>
      <w:bookmarkStart w:id="353" w:name="_Toc322782506"/>
      <w:r>
        <w:rPr>
          <w:rFonts w:hint="eastAsia" w:asciiTheme="minorEastAsia" w:hAnsiTheme="minorEastAsia" w:eastAsiaTheme="minorEastAsia" w:cstheme="minorEastAsia"/>
          <w:sz w:val="24"/>
          <w:szCs w:val="24"/>
        </w:rPr>
        <w:t>4.7 生产过程控制</w:t>
      </w:r>
      <w:bookmarkEnd w:id="352"/>
      <w:bookmarkEnd w:id="353"/>
    </w:p>
    <w:p>
      <w:pPr>
        <w:spacing w:line="360" w:lineRule="auto"/>
        <w:ind w:firstLine="480" w:firstLineChars="200"/>
        <w:rPr>
          <w:rFonts w:hint="eastAsia" w:asciiTheme="minorEastAsia" w:hAnsiTheme="minorEastAsia" w:eastAsiaTheme="minorEastAsia" w:cstheme="minorEastAsia"/>
          <w:sz w:val="24"/>
          <w:szCs w:val="24"/>
        </w:rPr>
      </w:pPr>
      <w:bookmarkStart w:id="354" w:name="_Toc322736641"/>
      <w:bookmarkStart w:id="355" w:name="_Toc322782507"/>
      <w:r>
        <w:rPr>
          <w:rFonts w:hint="eastAsia" w:asciiTheme="minorEastAsia" w:hAnsiTheme="minorEastAsia" w:eastAsiaTheme="minorEastAsia" w:cstheme="minorEastAsia"/>
          <w:sz w:val="24"/>
          <w:szCs w:val="24"/>
        </w:rPr>
        <w:t>4.7.1 生产制作过程执行标准</w:t>
      </w:r>
      <w:bookmarkEnd w:id="354"/>
      <w:bookmarkEnd w:id="355"/>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缠绕按工艺设计文件要求进行。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检验按《玻璃钢产品直观验收标准》、《产品尺寸允许误差》、玻璃钢大型贮罐标准有关规定执行。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缠绕设备管理按《生产设备控制程序》、《设备操用规程》实施。</w:t>
      </w:r>
    </w:p>
    <w:p>
      <w:pPr>
        <w:spacing w:line="360" w:lineRule="auto"/>
        <w:ind w:firstLine="480" w:firstLineChars="200"/>
        <w:rPr>
          <w:rFonts w:hint="eastAsia" w:asciiTheme="minorEastAsia" w:hAnsiTheme="minorEastAsia" w:eastAsiaTheme="minorEastAsia" w:cstheme="minorEastAsia"/>
          <w:sz w:val="24"/>
          <w:szCs w:val="24"/>
        </w:rPr>
      </w:pPr>
      <w:bookmarkStart w:id="356" w:name="_Toc322782508"/>
      <w:bookmarkStart w:id="357" w:name="_Toc322736642"/>
      <w:r>
        <w:rPr>
          <w:rFonts w:hint="eastAsia" w:asciiTheme="minorEastAsia" w:hAnsiTheme="minorEastAsia" w:eastAsiaTheme="minorEastAsia" w:cstheme="minorEastAsia"/>
          <w:sz w:val="24"/>
          <w:szCs w:val="24"/>
        </w:rPr>
        <w:t>4.7.2 生产准备</w:t>
      </w:r>
      <w:bookmarkEnd w:id="356"/>
      <w:bookmarkEnd w:id="357"/>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现场场地的准备：现场制作部与用户协调，落实生产场地及辅助设施。</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原材料准备：严格按工艺要求备足合格原材料，满足生产要求。</w:t>
      </w:r>
    </w:p>
    <w:p>
      <w:pPr>
        <w:spacing w:line="360" w:lineRule="auto"/>
        <w:ind w:firstLine="480" w:firstLineChars="200"/>
        <w:rPr>
          <w:rFonts w:hint="eastAsia" w:asciiTheme="minorEastAsia" w:hAnsiTheme="minorEastAsia" w:eastAsiaTheme="minorEastAsia" w:cstheme="minorEastAsia"/>
          <w:sz w:val="24"/>
          <w:szCs w:val="24"/>
        </w:rPr>
      </w:pPr>
      <w:bookmarkStart w:id="358" w:name="_Toc322736643"/>
      <w:bookmarkStart w:id="359" w:name="_Toc322782509"/>
      <w:r>
        <w:rPr>
          <w:rFonts w:hint="eastAsia" w:asciiTheme="minorEastAsia" w:hAnsiTheme="minorEastAsia" w:eastAsiaTheme="minorEastAsia" w:cstheme="minorEastAsia"/>
          <w:sz w:val="24"/>
          <w:szCs w:val="24"/>
        </w:rPr>
        <w:t>4.7.3 生产过程质量控制</w:t>
      </w:r>
      <w:bookmarkEnd w:id="358"/>
      <w:bookmarkEnd w:id="359"/>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严格按《FRP烟囱内筒工艺操作规程》进行操作，并不定时抽查，并执行《生产控制程序》的4.2条和《检验和试验控制程序》第4.3.2.3条。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对生产过程中出现的问题及时分析原因，并拿出有效解决办法，以书面形式反馈给班组，出现重大质量问题时及时汇报并协助质检部门分析事故原因，制定防范措施。按《不合格品控制程序》和《纠正和预防措施控制程序》执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认真填写各种记录，做到计量准确，报表清楚。按《质量记录控制程序》执行。</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合理安排生产，保证交货期。</w:t>
      </w:r>
    </w:p>
    <w:p>
      <w:pPr>
        <w:spacing w:line="360" w:lineRule="auto"/>
        <w:ind w:firstLine="480" w:firstLineChars="200"/>
        <w:rPr>
          <w:rFonts w:hint="eastAsia" w:asciiTheme="minorEastAsia" w:hAnsiTheme="minorEastAsia" w:eastAsiaTheme="minorEastAsia" w:cstheme="minorEastAsia"/>
          <w:sz w:val="24"/>
          <w:szCs w:val="24"/>
        </w:rPr>
      </w:pPr>
      <w:bookmarkStart w:id="360" w:name="_Toc322782510"/>
      <w:bookmarkStart w:id="361" w:name="_Toc322736644"/>
      <w:r>
        <w:rPr>
          <w:rFonts w:hint="eastAsia" w:asciiTheme="minorEastAsia" w:hAnsiTheme="minorEastAsia" w:eastAsiaTheme="minorEastAsia" w:cstheme="minorEastAsia"/>
          <w:sz w:val="24"/>
          <w:szCs w:val="24"/>
        </w:rPr>
        <w:t>4.8 服务</w:t>
      </w:r>
      <w:bookmarkEnd w:id="360"/>
      <w:bookmarkEnd w:id="361"/>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履行本合同应严格执行《服务控制程序》，营销部负责所有服务活动的协调和控制。为满足合同的要求，本公司以高度的责任心适时安排富有经验的工程技术人员到施工现场，指导安装及维护，在使用中若出现质量问题，由技术部安排技术人员在48小时内赶到现场处理。本公司指导施工，对顾客所需的安装培训按《服务控制程序》执行。</w:t>
      </w:r>
    </w:p>
    <w:p>
      <w:pPr>
        <w:spacing w:line="360" w:lineRule="auto"/>
        <w:ind w:firstLine="482" w:firstLineChars="200"/>
        <w:rPr>
          <w:rFonts w:hint="eastAsia" w:asciiTheme="minorEastAsia" w:hAnsiTheme="minorEastAsia" w:eastAsiaTheme="minorEastAsia" w:cstheme="minorEastAsia"/>
          <w:b/>
          <w:bCs/>
          <w:sz w:val="24"/>
          <w:szCs w:val="24"/>
        </w:rPr>
      </w:pPr>
      <w:bookmarkStart w:id="362" w:name="_Toc322782511"/>
      <w:bookmarkStart w:id="363" w:name="_Toc353625150"/>
      <w:bookmarkStart w:id="364" w:name="_Toc323932751"/>
      <w:r>
        <w:rPr>
          <w:rFonts w:hint="eastAsia" w:asciiTheme="minorEastAsia" w:hAnsiTheme="minorEastAsia" w:eastAsiaTheme="minorEastAsia" w:cstheme="minorEastAsia"/>
          <w:b/>
          <w:bCs/>
          <w:sz w:val="24"/>
          <w:szCs w:val="24"/>
          <w:lang w:val="en-US" w:eastAsia="zh-CN"/>
        </w:rPr>
        <w:t>十二、</w:t>
      </w:r>
      <w:r>
        <w:rPr>
          <w:rFonts w:hint="eastAsia" w:asciiTheme="minorEastAsia" w:hAnsiTheme="minorEastAsia" w:eastAsiaTheme="minorEastAsia" w:cstheme="minorEastAsia"/>
          <w:b/>
          <w:bCs/>
          <w:sz w:val="24"/>
          <w:szCs w:val="24"/>
        </w:rPr>
        <w:t>施工现场管理</w:t>
      </w:r>
      <w:bookmarkEnd w:id="362"/>
      <w:bookmarkEnd w:id="363"/>
      <w:bookmarkEnd w:id="36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65" w:name="_Toc322782512"/>
      <w:bookmarkStart w:id="366" w:name="_Toc322736646"/>
      <w:r>
        <w:rPr>
          <w:rFonts w:hint="eastAsia" w:asciiTheme="minorEastAsia" w:hAnsiTheme="minorEastAsia" w:eastAsiaTheme="minorEastAsia" w:cstheme="minorEastAsia"/>
          <w:sz w:val="24"/>
          <w:szCs w:val="24"/>
          <w:lang w:val="en-US" w:eastAsia="zh-CN"/>
        </w:rPr>
        <w:t>1.在设备制造过程中，严格遵守业主的安全、环保法规和相关的规章制度。并责成专人负责安全工作，并负责卫生环保工作，做到工完料净场地清。</w:t>
      </w:r>
      <w:bookmarkEnd w:id="365"/>
      <w:bookmarkEnd w:id="36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67" w:name="_Toc322736647"/>
      <w:bookmarkStart w:id="368" w:name="_Toc322782513"/>
      <w:r>
        <w:rPr>
          <w:rFonts w:hint="eastAsia" w:asciiTheme="minorEastAsia" w:hAnsiTheme="minorEastAsia" w:eastAsiaTheme="minorEastAsia" w:cstheme="minorEastAsia"/>
          <w:sz w:val="24"/>
          <w:szCs w:val="24"/>
          <w:lang w:val="en-US" w:eastAsia="zh-CN"/>
        </w:rPr>
        <w:t>2.现场管理规定</w:t>
      </w:r>
      <w:bookmarkEnd w:id="367"/>
      <w:bookmarkEnd w:id="36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69" w:name="_Toc322736648"/>
      <w:bookmarkStart w:id="370" w:name="_Toc322782514"/>
      <w:r>
        <w:rPr>
          <w:rFonts w:hint="eastAsia" w:asciiTheme="minorEastAsia" w:hAnsiTheme="minorEastAsia" w:eastAsiaTheme="minorEastAsia" w:cstheme="minorEastAsia"/>
          <w:sz w:val="24"/>
          <w:szCs w:val="24"/>
          <w:lang w:val="en-US" w:eastAsia="zh-CN"/>
        </w:rPr>
        <w:t>2.1实行项目经理负责制，由项目经理全权负责该项目施工的各种事宜。出发前须召开管理及安全会议，强调安全第一、质量第一，并记录在案。</w:t>
      </w:r>
      <w:bookmarkEnd w:id="369"/>
      <w:bookmarkEnd w:id="37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71" w:name="_Toc322736649"/>
      <w:bookmarkStart w:id="372" w:name="_Toc322782515"/>
      <w:r>
        <w:rPr>
          <w:rFonts w:hint="eastAsia" w:asciiTheme="minorEastAsia" w:hAnsiTheme="minorEastAsia" w:eastAsiaTheme="minorEastAsia" w:cstheme="minorEastAsia"/>
          <w:sz w:val="24"/>
          <w:szCs w:val="24"/>
          <w:lang w:val="en-US" w:eastAsia="zh-CN"/>
        </w:rPr>
        <w:t>2.2设备由可靠的驾驶员驾驶可靠的汽车进行运输，工人在装卸设备时须爱护设备，不得野蛮装卸。一旦发生交通事故，设备在运输过程中受损，须保护好现场，向公司汇报并通知事故所在地的中国人民保险公司报案。</w:t>
      </w:r>
      <w:bookmarkEnd w:id="371"/>
      <w:bookmarkEnd w:id="372"/>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73" w:name="_Toc322736650"/>
      <w:bookmarkStart w:id="374" w:name="_Toc322782516"/>
      <w:r>
        <w:rPr>
          <w:rFonts w:hint="eastAsia" w:asciiTheme="minorEastAsia" w:hAnsiTheme="minorEastAsia" w:eastAsiaTheme="minorEastAsia" w:cstheme="minorEastAsia"/>
          <w:sz w:val="24"/>
          <w:szCs w:val="24"/>
          <w:lang w:val="en-US" w:eastAsia="zh-CN"/>
        </w:rPr>
        <w:t>2.3施工人员须着装整洁，精神饱满。必须遵守施工厂方的安全管理规定和其它管理规定，必须严格遵守《现场施工的安全管理规定》。</w:t>
      </w:r>
      <w:bookmarkEnd w:id="373"/>
      <w:bookmarkEnd w:id="37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75" w:name="_Toc322782517"/>
      <w:bookmarkStart w:id="376" w:name="_Toc322736651"/>
      <w:r>
        <w:rPr>
          <w:rFonts w:hint="eastAsia" w:asciiTheme="minorEastAsia" w:hAnsiTheme="minorEastAsia" w:eastAsiaTheme="minorEastAsia" w:cstheme="minorEastAsia"/>
          <w:sz w:val="24"/>
          <w:szCs w:val="24"/>
          <w:lang w:val="en-US" w:eastAsia="zh-CN"/>
        </w:rPr>
        <w:t>2.4施工须按规定好的图纸及工艺进行，未经技术人员许可不得随意更改工艺，任何人必须树立“质量第一”的思想，一旦发现质量隐患应及时报告，采取对策。雨天、雾天坚决不施工。</w:t>
      </w:r>
      <w:bookmarkEnd w:id="375"/>
      <w:bookmarkEnd w:id="37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77" w:name="_Toc322782518"/>
      <w:bookmarkStart w:id="378" w:name="_Toc322736652"/>
      <w:r>
        <w:rPr>
          <w:rFonts w:hint="eastAsia" w:asciiTheme="minorEastAsia" w:hAnsiTheme="minorEastAsia" w:eastAsiaTheme="minorEastAsia" w:cstheme="minorEastAsia"/>
          <w:sz w:val="24"/>
          <w:szCs w:val="24"/>
          <w:lang w:val="en-US" w:eastAsia="zh-CN"/>
        </w:rPr>
        <w:t>2.5 所有职工严守企业秘密，做好保卫工作，防止设备、材料损失。</w:t>
      </w:r>
      <w:bookmarkEnd w:id="377"/>
      <w:bookmarkEnd w:id="37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79" w:name="_Toc322782519"/>
      <w:bookmarkStart w:id="380" w:name="_Toc322736653"/>
      <w:r>
        <w:rPr>
          <w:rFonts w:hint="eastAsia" w:asciiTheme="minorEastAsia" w:hAnsiTheme="minorEastAsia" w:eastAsiaTheme="minorEastAsia" w:cstheme="minorEastAsia"/>
          <w:sz w:val="24"/>
          <w:szCs w:val="24"/>
          <w:lang w:val="en-US" w:eastAsia="zh-CN"/>
        </w:rPr>
        <w:t>2.6做好与厂方协调工作，不得与厂方发生不愉快的事，不得于当地居民发生冲突。</w:t>
      </w:r>
      <w:bookmarkEnd w:id="379"/>
      <w:bookmarkEnd w:id="38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81" w:name="_Toc322736654"/>
      <w:bookmarkStart w:id="382" w:name="_Toc322782520"/>
      <w:r>
        <w:rPr>
          <w:rFonts w:hint="eastAsia" w:asciiTheme="minorEastAsia" w:hAnsiTheme="minorEastAsia" w:eastAsiaTheme="minorEastAsia" w:cstheme="minorEastAsia"/>
          <w:sz w:val="24"/>
          <w:szCs w:val="24"/>
          <w:lang w:val="en-US" w:eastAsia="zh-CN"/>
        </w:rPr>
        <w:t>3.安全管理网络</w:t>
      </w:r>
      <w:bookmarkEnd w:id="381"/>
      <w:bookmarkEnd w:id="382"/>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1552" behindDoc="0" locked="0" layoutInCell="1" allowOverlap="1">
                <wp:simplePos x="0" y="0"/>
                <wp:positionH relativeFrom="column">
                  <wp:posOffset>160020</wp:posOffset>
                </wp:positionH>
                <wp:positionV relativeFrom="paragraph">
                  <wp:posOffset>99060</wp:posOffset>
                </wp:positionV>
                <wp:extent cx="1773555" cy="297180"/>
                <wp:effectExtent l="4445" t="4445" r="12700" b="15875"/>
                <wp:wrapNone/>
                <wp:docPr id="13" name="文本框 216"/>
                <wp:cNvGraphicFramePr/>
                <a:graphic xmlns:a="http://schemas.openxmlformats.org/drawingml/2006/main">
                  <a:graphicData uri="http://schemas.microsoft.com/office/word/2010/wordprocessingShape">
                    <wps:wsp>
                      <wps:cNvSpPr txBox="1"/>
                      <wps:spPr>
                        <a:xfrm>
                          <a:off x="0" y="0"/>
                          <a:ext cx="17735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美国安管办</w:t>
                            </w:r>
                          </w:p>
                        </w:txbxContent>
                      </wps:txbx>
                      <wps:bodyPr wrap="square" upright="1"/>
                    </wps:wsp>
                  </a:graphicData>
                </a:graphic>
              </wp:anchor>
            </w:drawing>
          </mc:Choice>
          <mc:Fallback>
            <w:pict>
              <v:shape id="文本框 216" o:spid="_x0000_s1026" o:spt="202" type="#_x0000_t202" style="position:absolute;left:0pt;margin-left:12.6pt;margin-top:7.8pt;height:23.4pt;width:139.65pt;z-index:251671552;mso-width-relative:page;mso-height-relative:page;" fillcolor="#FFFFFF" filled="t" stroked="t" coordsize="21600,21600" o:gfxdata="UEsDBAoAAAAAAIdO4kAAAAAAAAAAAAAAAAAEAAAAZHJzL1BLAwQUAAAACACHTuJAYJvNIdgAAAAI&#10;AQAADwAAAGRycy9kb3ducmV2LnhtbE2PzU7DMBCE70i8g7VIXBC1myahhDg9IIHgVkpVrm68TSL8&#10;E2w3LW/PcoLj7Ixmvq1XZ2vYhCEO3kmYzwQwdK3Xg+skbN+fbpfAYlJOK+MdSvjGCKvm8qJWlfYn&#10;94bTJnWMSlyslIQ+pbHiPLY9WhVnfkRH3sEHqxLJ0HEd1InKreGZECW3anC00KsRH3tsPzdHK2GZ&#10;v0wf8XWx3rXlwdynm7vp+StIeX01Fw/AEp7TXxh+8QkdGmLa+6PTkRkJWZFRku5FCYz8hcgLYHsJ&#10;ZZYDb2r+/4HmB1BLAwQUAAAACACHTuJAzGDBFf8BAAD5AwAADgAAAGRycy9lMm9Eb2MueG1srVPN&#10;bhMxEL4j8Q6W72Q3W6VpV9lUghAuCJAKDzCxvbuW/IftZDcvAG/AiQt3nivP0bHTpi30UCH24B3b&#10;M9/M9814cTVqRXbCB2lNQ6eTkhJhmOXSdA398nn96oKSEMFwUNaIhu5FoFfLly8Wg6tFZXuruPAE&#10;QUyoB9fQPkZXF0VgvdAQJtYJg5et9Roibn1XcA8DomtVVGV5XgzWc+ctEyHg6ep4SZcZv20Fix/b&#10;NohIVEOxtphXn9dNWovlAurOg+sluy0D/qEKDdJg0hPUCiKQrZd/QWnJvA22jRNmdWHbVjKROSCb&#10;afkHm+senMhcUJzgTjKF/wfLPuw+eSI59u6MEgMae3T48f3w8/fh1zdSTc+TQoMLNTpeO3SN42s7&#10;ovfdecDDRHxsvU5/pETwHrXen/QVYyQsBc3nZ7PZjBKGd9XlfHqRG1DcRzsf4jthNUlGQz32L8sK&#10;u/chYiXoeueSkgWrJF9LpfLGd5s3ypMdYK/X+UtFYsgjN2XI0NDLWZXqABy5VkFEUzsUIZgu53sU&#10;ER4Cl/l7CjgVtoLQHwvICMkNai2j8NnqBfC3hpO4d6izwRdBUzFacEqUwAeUrOwZQarneCI7ZZBk&#10;atGxFcmK42ZEmGRuLN9j2wYccaT3dQsec26dl12PAuc25mCcr6zV7VtIA/xwn1Pcv9jl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CbzSHYAAAACAEAAA8AAAAAAAAAAQAgAAAAIgAAAGRycy9kb3du&#10;cmV2LnhtbFBLAQIUABQAAAAIAIdO4kDMYMEV/wEAAPkDAAAOAAAAAAAAAAEAIAAAACcBAABkcnMv&#10;ZTJvRG9jLnhtbFBLBQYAAAAABgAGAFkBAACYBQAAAAA=&#10;">
                <v:fill on="t" focussize="0,0"/>
                <v:stroke color="#000000" joinstyle="miter"/>
                <v:imagedata o:title=""/>
                <o:lock v:ext="edit" aspectratio="f"/>
                <v:textbox>
                  <w:txbxContent>
                    <w:p>
                      <w:pPr>
                        <w:rPr>
                          <w:sz w:val="24"/>
                        </w:rPr>
                      </w:pPr>
                      <w:r>
                        <w:rPr>
                          <w:rFonts w:hint="eastAsia"/>
                          <w:sz w:val="24"/>
                        </w:rPr>
                        <w:t>美国安管办</w:t>
                      </w:r>
                    </w:p>
                  </w:txbxContent>
                </v:textbox>
              </v:shap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8720" behindDoc="0" locked="0" layoutInCell="1" allowOverlap="1">
                <wp:simplePos x="0" y="0"/>
                <wp:positionH relativeFrom="column">
                  <wp:posOffset>2867025</wp:posOffset>
                </wp:positionH>
                <wp:positionV relativeFrom="paragraph">
                  <wp:posOffset>198120</wp:posOffset>
                </wp:positionV>
                <wp:extent cx="0" cy="693420"/>
                <wp:effectExtent l="38100" t="0" r="38100" b="5080"/>
                <wp:wrapNone/>
                <wp:docPr id="20" name="直线 2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 o:spid="_x0000_s1026" o:spt="20" style="position:absolute;left:0pt;margin-left:225.75pt;margin-top:15.6pt;height:54.6pt;width:0pt;z-index:251678720;mso-width-relative:page;mso-height-relative:page;" filled="f" stroked="t" coordsize="21600,21600" o:gfxdata="UEsDBAoAAAAAAIdO4kAAAAAAAAAAAAAAAAAEAAAAZHJzL1BLAwQUAAAACACHTuJAo7ObSdkAAAAK&#10;AQAADwAAAGRycy9kb3ducmV2LnhtbE2PwU7DMAyG70i8Q2QkbizJ6FBVmu6ANC4boG0IwS1rTFvR&#10;OFWSbuXtCdoBjrY//f7+cjnZnh3Rh86RAjkTwJBqZzpqFLzuVzc5sBA1Gd07QgXfGGBZXV6UujDu&#10;RFs87mLDUgiFQitoYxwKzkPdotVh5gakdPt03uqYRt9w4/Uphduez4W441Z3lD60esCHFuuv3WgV&#10;bDerdf62HqfafzzK5/3L5uk95EpdX0lxDyziFP9g+NVP6lAlp4MbyQTWK8gWcpFQBbdyDiwB58Uh&#10;kZnIgFcl/1+h+gFQSwMEFAAAAAgAh07iQBxpIOLTAQAAkwMAAA4AAABkcnMvZTJvRG9jLnhtbK1T&#10;S44TMRDdI3EHy3vSSQ8zYlrpzGLCsEEQCThAxZ9uS/7J5UknZ+EarNhwnLkGZSckfMQG0Qt3uer5&#10;uepVeXm3d5btVEITfM8XszlnyosgjR96/unjw4tXnGEGL8EGr3p+UMjvVs+fLafYqTaMwUqVGJF4&#10;7KbY8zHn2DUNilE5wFmIylNQh+Qg0zYNjUwwEbuzTTuf3zRTSDKmIBQiedfHIF9Vfq2VyO+1RpWZ&#10;7Tnlluua6rota7NaQjckiKMRpzTgH7JwYDxdeqZaQwb2mMwfVM6IFDDoPBPBNUFrI1StgapZzH+r&#10;5sMIUdVaSByMZ5nw/9GKd7tNYkb2vCV5PDjq0dPnL09fv7G2vSryTBE7Qt37TTrtMG5SqXWvkyt/&#10;qoLtq6SHs6Rqn5k4OgV5b26vXtIFRNBczsWE+Y0KjhWj59b4Uix0sHuL+Qj9ASlu69nU89vr9poz&#10;ATQr2kIm00XKHv1Qz2KwRj4Ya8sJTMP23ia2g9L9+p1S+AVWLlkDjkdcDRUYdKMC+dpLlg+RZPE0&#10;wLyk4JTkzCqa92JVZAZjL8icDPjB/gVNClhPQhRhj1IWaxvkgTrxGJMZRlJjUTMtEep8le00pWW0&#10;ft5XpstbWn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7ObSdkAAAAKAQAADwAAAAAAAAABACAA&#10;AAAiAAAAZHJzL2Rvd25yZXYueG1sUEsBAhQAFAAAAAgAh07iQBxpIOLTAQAAkwMAAA4AAAAAAAAA&#10;AQAgAAAAKAEAAGRycy9lMm9Eb2MueG1sUEsFBgAAAAAGAAYAWQEAAG0FA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7696" behindDoc="0" locked="0" layoutInCell="1" allowOverlap="1">
                <wp:simplePos x="0" y="0"/>
                <wp:positionH relativeFrom="column">
                  <wp:posOffset>2333625</wp:posOffset>
                </wp:positionH>
                <wp:positionV relativeFrom="paragraph">
                  <wp:posOffset>198120</wp:posOffset>
                </wp:positionV>
                <wp:extent cx="0" cy="693420"/>
                <wp:effectExtent l="38100" t="0" r="38100" b="5080"/>
                <wp:wrapNone/>
                <wp:docPr id="19" name="直线 22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183.75pt;margin-top:15.6pt;height:54.6pt;width:0pt;z-index:251677696;mso-width-relative:page;mso-height-relative:page;" filled="f" stroked="t" coordsize="21600,21600" o:gfxdata="UEsDBAoAAAAAAIdO4kAAAAAAAAAAAAAAAAAEAAAAZHJzL1BLAwQUAAAACACHTuJAhRi2ZNkAAAAK&#10;AQAADwAAAGRycy9kb3ducmV2LnhtbE2PTU/DMAyG70j8h8hI3FjSMUZVmu6ANC4boG1oGresMW1F&#10;41RNupV/jxEHuPnj0evH+WJ0rThhHxpPGpKJAoFUettQpeFtt7xJQYRoyJrWE2r4wgCL4vIiN5n1&#10;Z9rgaRsrwSEUMqOhjrHLpAxljc6Eie+QePfhe2cit30lbW/OHO5aOVVqLp1piC/UpsPHGsvP7eA0&#10;bNbLVbpfDWPZvz8lL7vX9fMhpFpfXyXqAUTEMf7B8KPP6lCw09EPZINoNdzO7+8Y5SKZgmDgd3Bk&#10;cqZmIItc/n+h+AZQSwMEFAAAAAgAh07iQOMNWhPWAQAAkwMAAA4AAABkcnMvZTJvRG9jLnhtbK1T&#10;zY4TMQy+I/EOUe502oFd0VGne9iyXBBUYnkAN8nMRMqf4mynfRZegxMXHmdfAydTWmC1F0QPqWM7&#10;nz9/9qxuDtawvYqovWv5YjbnTDnhpXZ9y7/c3716yxkmcBKMd6rlR4X8Zv3yxWoMjar94I1UkRGI&#10;w2YMLR9SCk1VoRiUBZz5oBwFOx8tJLrGvpIRRkK3pqrn8+tq9FGG6IVCJO9mCvJ1we86JdKnrkOV&#10;mGk5cUvljOXc5bNar6DpI4RBixMN+AcWFrSjomeoDSRgD1E/gbJaRI++SzPhbeW7TgtVeqBuFvO/&#10;uvk8QFClFxIHw1km/H+w4uN+G5mWNLslZw4szejx67fH7z9YXddZnjFgQ1m3bhtPNwzbmHs9dNHm&#10;f+qCHYqkx7Ok6pCYmJyCvNfL12/qonZ1eRcipvfKW5aNlhvtcrPQwP4DJqpFqb9Ssts4NrZ8eVVf&#10;cSaAdqUzkMi0gdij68tb9EbLO21MfoGx392ayPaQp19+uSPC/SMtF9kADlNeCU17MSiQ75xk6RhI&#10;FkcLzDMFqyRnRtG+Z4sAoUmgzSUzRQ2uN89kU3njiEUWdpIyWzsvjzSJhxB1P5Aai8I0R2jyhfNp&#10;S/Nq/X4vSJd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Ri2ZNkAAAAKAQAADwAAAAAAAAAB&#10;ACAAAAAiAAAAZHJzL2Rvd25yZXYueG1sUEsBAhQAFAAAAAgAh07iQOMNWhPWAQAAkwMAAA4AAAAA&#10;AAAAAQAgAAAAKAEAAGRycy9lMm9Eb2MueG1sUEsFBgAAAAAGAAYAWQEAAHAFA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198120</wp:posOffset>
                </wp:positionV>
                <wp:extent cx="466725" cy="0"/>
                <wp:effectExtent l="0" t="0" r="0" b="0"/>
                <wp:wrapNone/>
                <wp:docPr id="18" name="直线 221"/>
                <wp:cNvGraphicFramePr/>
                <a:graphic xmlns:a="http://schemas.openxmlformats.org/drawingml/2006/main">
                  <a:graphicData uri="http://schemas.microsoft.com/office/word/2010/wordprocessingShape">
                    <wps:wsp>
                      <wps:cNvCnPr/>
                      <wps:spPr>
                        <a:xfrm flipH="1">
                          <a:off x="0" y="0"/>
                          <a:ext cx="4667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1" o:spid="_x0000_s1026" o:spt="20" style="position:absolute;left:0pt;flip:x;margin-left:225.75pt;margin-top:15.6pt;height:0pt;width:36.75pt;z-index:251676672;mso-width-relative:page;mso-height-relative:page;" filled="f" stroked="t" coordsize="21600,21600" o:gfxdata="UEsDBAoAAAAAAIdO4kAAAAAAAAAAAAAAAAAEAAAAZHJzL1BLAwQUAAAACACHTuJAatg3yNYAAAAJ&#10;AQAADwAAAGRycy9kb3ducmV2LnhtbE2PwUrEMBCG74LvEEbw5ibtWtHadBFRL4Kwa/WcNmNbTCal&#10;yXbXt3fEgx5n5uOf7682R+/EgnMcA2nIVgoEUhfsSL2G5vXx4hpETIascYFQwxdG2NSnJ5UpbTjQ&#10;Fpdd6gWHUCyNhiGlqZQydgN6E1dhQuLbR5i9STzOvbSzOXC4dzJX6kp6MxJ/GMyE9wN2n7u913D3&#10;/vywfllaH5y96Zs36xv1lGt9fpapWxAJj+kPhh99VoeandqwJxuF03BZZAWjGtZZDoKBIi+4XPu7&#10;kHUl/zeovwFQSwMEFAAAAAgAh07iQNdVVlvUAQAAmQMAAA4AAABkcnMvZTJvRG9jLnhtbK1TS44T&#10;MRDdI3EHy3vSScQEaKUziwkDCwSRBg5Q8afbkn9yedLJWbgGKzYcZ65B2Z0Jvw1C9MKyXc+v6r2q&#10;Xl8fnWUHldAE3/HFbM6Z8iJI4/uOf/p4++wlZ5jBS7DBq46fFPLrzdMn6zG2ahmGYKVKjEg8tmPs&#10;+JBzbJsGxaAc4CxE5SmoQ3KQ6Zj6RiYYid3ZZjmfr5oxJBlTEAqRbrdTkG8qv9ZK5A9ao8rMdpxq&#10;y3VNdd2Xtdmsoe0TxMGIcxnwD1U4MJ6SXqi2kIHdJ/MHlTMiBQw6z0RwTdDaCFU1kJrF/Dc1dwNE&#10;VbWQORgvNuH/oxXvD7vEjKTeUac8OOrRw+cvD1+/seVyUewZI7aEuvG7dD5h3KWi9aiTY9qa+JZe&#10;V/Wkhx2ruaeLueqYmaDL56vVi+UVZ+Ix1EwMhSkmzG9UcKxsOm6NL7KhhcM7zJSVoI+Qcm09Gzv+&#10;6qrSAU2NtpCJ2UXSgb6vbzFYI2+NteUFpn5/YxM7QJmD+hVtxPsLrCTZAg4TroamCRkUyNdesnyK&#10;ZJCnUealBKckZ1bR5JcdEUKbwdi/QVJq66mCYu9kaNntgzxRP+5jMv1ATtQOVAz1v9Z7ntUyYD+f&#10;K9OPP2rz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rYN8jWAAAACQEAAA8AAAAAAAAAAQAgAAAA&#10;IgAAAGRycy9kb3ducmV2LnhtbFBLAQIUABQAAAAIAIdO4kDXVVZb1AEAAJkDAAAOAAAAAAAAAAEA&#10;IAAAACUBAABkcnMvZTJvRG9jLnhtbFBLBQYAAAAABgAGAFkBAABr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5648" behindDoc="0" locked="0" layoutInCell="1" allowOverlap="1">
                <wp:simplePos x="0" y="0"/>
                <wp:positionH relativeFrom="column">
                  <wp:posOffset>1933575</wp:posOffset>
                </wp:positionH>
                <wp:positionV relativeFrom="paragraph">
                  <wp:posOffset>198120</wp:posOffset>
                </wp:positionV>
                <wp:extent cx="400050" cy="0"/>
                <wp:effectExtent l="0" t="0" r="0" b="0"/>
                <wp:wrapNone/>
                <wp:docPr id="17" name="直线 220"/>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0" o:spid="_x0000_s1026" o:spt="20" style="position:absolute;left:0pt;margin-left:152.25pt;margin-top:15.6pt;height:0pt;width:31.5pt;z-index:251675648;mso-width-relative:page;mso-height-relative:page;" filled="f" stroked="t" coordsize="21600,21600" o:gfxdata="UEsDBAoAAAAAAIdO4kAAAAAAAAAAAAAAAAAEAAAAZHJzL1BLAwQUAAAACACHTuJAVIimGNYAAAAJ&#10;AQAADwAAAGRycy9kb3ducmV2LnhtbE2PzU7DQAyE70i8w8pIXKp2NwkUFLLpAciNC4WKq5uYJCLr&#10;TbPbH3h6jDjAzZ4ZjT8Xq5Mb1IGm0Hu2kCwMKOLaNz23Fl5fqvktqBCRGxw8k4VPCrAqz88KzBt/&#10;5Gc6rGOrpIRDjha6GMdc61B35DAs/Egs3rufHEZZp1Y3Ex6l3A06NWapHfYsFzoc6b6j+mO9dxZC&#10;taFd9TWrZ+Ytaz2lu4enR7T28iIxd6AineJfGH7wBR1KYdr6PTdBDRYyc3UtURmSFJQEsuWNCNtf&#10;QZeF/v9B+Q1QSwMEFAAAAAgAh07iQGB13GzNAQAAjwMAAA4AAABkcnMvZTJvRG9jLnhtbK1TS44T&#10;MRDdI3EHy3vSnYjwaaUziwnDBkEk4AAVf7ot+SeXJ52chWuwYsNx5hqUnZmEz2Y0ohfusqv86tWr&#10;8urq4Czbq4Qm+J7PZy1nyosgjR96/vXLzYs3nGEGL8EGr3p+VMiv1s+frabYqUUYg5UqMQLx2E2x&#10;52POsWsaFKNygLMQlSenDslBpm0aGplgInRnm0XbvmqmkGRMQShEOt2cnHxd8bVWIn/SGlVmtufE&#10;Ldc11XVX1ma9gm5IEEcj7mnAE1g4MJ6SnqE2kIHdJvMPlDMiBQw6z0RwTdDaCFVroGrm7V/VfB4h&#10;qloLiYPxLBP+P1jxcb9NzEjq3WvOPDjq0d2373c/frLFosozRewo6tpvE4lVdhi3qdR60MmVP1XB&#10;DlXS41lSdchM0OHLtm2XJLx4cDWXezFhfq+CY8XouTW+FAsd7D9gplwU+hBSjq1nU8/fLhdLggOa&#10;FW0hk+kisUc/1LsYrJE3xtpyA9Owu7aJ7aF0v36l4YT7R1hJsgEcT3HVdZqLUYF85yXLx0iyeBpg&#10;Xig4JTmziua9WHWCMhj7mEhKbT0xuMhYrF2QR+rCbUxmGEmJeWVZPNT1yvd+QstY/b6vSJd3tP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IimGNYAAAAJAQAADwAAAAAAAAABACAAAAAiAAAAZHJz&#10;L2Rvd25yZXYueG1sUEsBAhQAFAAAAAgAh07iQGB13GzNAQAAjwMAAA4AAAAAAAAAAQAgAAAAJQEA&#10;AGRycy9lMm9Eb2MueG1sUEsFBgAAAAAGAAYAWQEAAGQ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0528" behindDoc="0" locked="0" layoutInCell="1" allowOverlap="1">
                <wp:simplePos x="0" y="0"/>
                <wp:positionH relativeFrom="column">
                  <wp:posOffset>3333750</wp:posOffset>
                </wp:positionH>
                <wp:positionV relativeFrom="paragraph">
                  <wp:posOffset>99060</wp:posOffset>
                </wp:positionV>
                <wp:extent cx="1466850" cy="297180"/>
                <wp:effectExtent l="4445" t="5080" r="14605" b="15240"/>
                <wp:wrapNone/>
                <wp:docPr id="12" name="文本框 215"/>
                <wp:cNvGraphicFramePr/>
                <a:graphic xmlns:a="http://schemas.openxmlformats.org/drawingml/2006/main">
                  <a:graphicData uri="http://schemas.microsoft.com/office/word/2010/wordprocessingShape">
                    <wps:wsp>
                      <wps:cNvSpPr txBox="1"/>
                      <wps:spPr>
                        <a:xfrm>
                          <a:off x="0" y="0"/>
                          <a:ext cx="14668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业主安全管理部门</w:t>
                            </w:r>
                          </w:p>
                        </w:txbxContent>
                      </wps:txbx>
                      <wps:bodyPr wrap="square" upright="1"/>
                    </wps:wsp>
                  </a:graphicData>
                </a:graphic>
              </wp:anchor>
            </w:drawing>
          </mc:Choice>
          <mc:Fallback>
            <w:pict>
              <v:shape id="文本框 215" o:spid="_x0000_s1026" o:spt="202" type="#_x0000_t202" style="position:absolute;left:0pt;margin-left:262.5pt;margin-top:7.8pt;height:23.4pt;width:115.5pt;z-index:251670528;mso-width-relative:page;mso-height-relative:page;" fillcolor="#FFFFFF" filled="t" stroked="t" coordsize="21600,21600" o:gfxdata="UEsDBAoAAAAAAIdO4kAAAAAAAAAAAAAAAAAEAAAAZHJzL1BLAwQUAAAACACHTuJAEEeOedgAAAAJ&#10;AQAADwAAAGRycy9kb3ducmV2LnhtbE2PwU7DMBBE70j8g7VIXBB1Ghq3hDg9IIHgVgqCqxtvk4h4&#10;HWw3LX/PcoLjzoxm31TrkxvEhCH2njTMZxkIpMbbnloNb68P1ysQMRmyZvCEGr4xwro+P6tMaf2R&#10;XnDaplZwCcXSaOhSGkspY9OhM3HmRyT29j44k/gMrbTBHLncDTLPMiWd6Yk/dGbE+w6bz+3BaVgt&#10;nqaP+HyzeW/UfrhNV8vp8StofXkxz+5AJDylvzD84jM61My08weyUQwairzgLYmNQoHgwLJQLOw0&#10;qHwBsq7k/wX1D1BLAwQUAAAACACHTuJAQ6BJE/4BAAD5AwAADgAAAGRycy9lMm9Eb2MueG1srVPN&#10;jtMwEL4j8Q6W7zRpREs3aroSlHJBgLTwAFPbSSz5D9tt0heAN+DEhTvP1efYsbvb3YU9rBA5OGPP&#10;zDfzfWMvL0etyF74IK1p6HRSUiIMs1yarqFfPm9eLCgJEQwHZY1o6EEEerl6/mw5uFpUtreKC08Q&#10;xIR6cA3tY3R1UQTWCw1hYp0w6Gyt1xBx67uCexgQXauiKst5MVjPnbdMhICn65OTrjJ+2woWP7Zt&#10;EJGohmJvMa8+r9u0Fqsl1J0H10t20wb8QxcapMGiZ6g1RCA7L/+C0pJ5G2wbJ8zqwratZCJzQDbT&#10;8g82Vz04kbmgOMGdZQr/D5Z92H/yRHKcXUWJAY0zOv74fvz5+/jrG6mms6TQ4EKNgVcOQ+P42o4Y&#10;fXse8DARH1uv0x8pEfSj1oezvmKMhKWkl/P5YoYuhr7q4tV0kQdQ3GU7H+I7YTVJRkM9zi/LCvv3&#10;IWInGHobkooFqyTfSKXyxnfbN8qTPeCsN/lLTWLKgzBlyNDQi1k1wz4Ar1yrIKKpHYoQTJfrPcgI&#10;94HL/D0GnBpbQ+hPDWSEFAa1llH4bPUC+FvDSTw41Nngi6CpGS04JUrgA0pWjowg1VMikZ0ySDKN&#10;6DSKZMVxOyJMMreWH3BsA15xpPd1Bx5r7pyXXY8C5zHmZLxfWaubt5Au8P19LnH3Ylf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eOedgAAAAJAQAADwAAAAAAAAABACAAAAAiAAAAZHJzL2Rvd25y&#10;ZXYueG1sUEsBAhQAFAAAAAgAh07iQEOgSRP+AQAA+QMAAA4AAAAAAAAAAQAgAAAAJwEAAGRycy9l&#10;Mm9Eb2MueG1sUEsFBgAAAAAGAAYAWQEAAJcFAAAAAA==&#10;">
                <v:fill on="t" focussize="0,0"/>
                <v:stroke color="#000000" joinstyle="miter"/>
                <v:imagedata o:title=""/>
                <o:lock v:ext="edit" aspectratio="f"/>
                <v:textbox>
                  <w:txbxContent>
                    <w:p>
                      <w:pPr>
                        <w:rPr>
                          <w:sz w:val="24"/>
                        </w:rPr>
                      </w:pPr>
                      <w:r>
                        <w:rPr>
                          <w:rFonts w:hint="eastAsia"/>
                          <w:sz w:val="24"/>
                        </w:rPr>
                        <w:t>业主安全管理部门</w:t>
                      </w:r>
                    </w:p>
                  </w:txbxContent>
                </v:textbox>
              </v:shape>
            </w:pict>
          </mc:Fallback>
        </mc:AlternateConten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2576" behindDoc="0" locked="0" layoutInCell="1" allowOverlap="1">
                <wp:simplePos x="0" y="0"/>
                <wp:positionH relativeFrom="column">
                  <wp:posOffset>2000250</wp:posOffset>
                </wp:positionH>
                <wp:positionV relativeFrom="paragraph">
                  <wp:posOffset>0</wp:posOffset>
                </wp:positionV>
                <wp:extent cx="1266825" cy="297180"/>
                <wp:effectExtent l="4445" t="4445" r="11430" b="15875"/>
                <wp:wrapNone/>
                <wp:docPr id="14" name="文本框 217"/>
                <wp:cNvGraphicFramePr/>
                <a:graphic xmlns:a="http://schemas.openxmlformats.org/drawingml/2006/main">
                  <a:graphicData uri="http://schemas.microsoft.com/office/word/2010/wordprocessingShape">
                    <wps:wsp>
                      <wps:cNvSpPr txBox="1"/>
                      <wps:spPr>
                        <a:xfrm>
                          <a:off x="0" y="0"/>
                          <a:ext cx="12668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现场经理</w:t>
                            </w:r>
                          </w:p>
                        </w:txbxContent>
                      </wps:txbx>
                      <wps:bodyPr wrap="square" upright="1"/>
                    </wps:wsp>
                  </a:graphicData>
                </a:graphic>
              </wp:anchor>
            </w:drawing>
          </mc:Choice>
          <mc:Fallback>
            <w:pict>
              <v:shape id="文本框 217" o:spid="_x0000_s1026" o:spt="202" type="#_x0000_t202" style="position:absolute;left:0pt;margin-left:157.5pt;margin-top:0pt;height:23.4pt;width:99.75pt;z-index:251672576;mso-width-relative:page;mso-height-relative:page;" fillcolor="#FFFFFF" filled="t" stroked="t" coordsize="21600,21600" o:gfxdata="UEsDBAoAAAAAAIdO4kAAAAAAAAAAAAAAAAAEAAAAZHJzL1BLAwQUAAAACACHTuJAXLpHgtgAAAAH&#10;AQAADwAAAGRycy9kb3ducmV2LnhtbE2PwU7DMBBE70j8g7VIXBB1QpM0hGx6QALBDQoqVzfeJhHx&#10;OthuWv4ec4LLSqMZzbyt1yczipmcHywjpIsEBHFr9cAdwvvbw3UJwgfFWo2WCeGbPKyb87NaVdoe&#10;+ZXmTehELGFfKYQ+hKmS0rc9GeUXdiKO3t46o0KUrpPaqWMsN6O8SZJCGjVwXOjVRPc9tZ+bg0Eo&#10;s6f5wz8vX7ZtsR9vw9VqfvxyiJcXaXIHItAp/IXhFz+iQxOZdvbA2osRYZnm8ZeAEG+08zTLQewQ&#10;sqIE2dTyP3/zA1BLAwQUAAAACACHTuJAxYwKbf0BAAD5AwAADgAAAGRycy9lMm9Eb2MueG1srVNL&#10;jhMxEN0jcQfLe9JJi8lkWumMBCFsECANHKDiT7cl/7CddOcCcANWbNhzrpyDsjOTmQEWCNELd9mu&#10;evXqVXl5PRpN9iJE5WxLZ5MpJcIyx5XtWvrxw+bZgpKYwHLQzoqWHkSk16unT5aDb0Tteqe5CARB&#10;bGwG39I+Jd9UVWS9MBAnzguLl9IFAwm3oat4gAHRja7q6XReDS5wHxwTMeLp+nRJVwVfSsHSOymj&#10;SES3FLmlsoaybvNarZbQdAF8r9gtDfgHFgaUxaRnqDUkILugfoMyigUXnUwT5kzlpFRMlBqwmtn0&#10;l2puevCi1ILiRH+WKf4/WPZ2/z4QxbF3zymxYLBHx69fjt9+HL9/JvXsMis0+Nig441H1zS+cCN6&#10;351HPMyFjzKY/MeSCN6j1oezvmJMhOWgej5f1BeUMLyrry5ni9KA6j7ah5heC2dINloasH9FVti/&#10;iQmZoOudS04WnVZ8o7Qum9BtX+pA9oC93pQvk8SQR27akqGlVxeFB+DISQ0JKRmPIkTblXyPIuJD&#10;4Gn5/gScia0h9icCBSG7QWNUEqFYvQD+ynKSDh51tvgiaCZjBKdEC3xA2SqeCZT+G0+sTlssMrfo&#10;1IpspXE7Ikw2t44fsG0DjjiW92kHAXPufFBdjwKXNpZgnK+i1e1byAP8cF9S3L/Y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ukeC2AAAAAcBAAAPAAAAAAAAAAEAIAAAACIAAABkcnMvZG93bnJl&#10;di54bWxQSwECFAAUAAAACACHTuJAxYwKbf0BAAD5AwAADgAAAAAAAAABACAAAAAnAQAAZHJzL2Uy&#10;b0RvYy54bWxQSwUGAAAAAAYABgBZAQAAlgUAAAAA&#10;">
                <v:fill on="t" focussize="0,0"/>
                <v:stroke color="#000000" joinstyle="miter"/>
                <v:imagedata o:title=""/>
                <o:lock v:ext="edit" aspectratio="f"/>
                <v:textbox>
                  <w:txbxContent>
                    <w:p>
                      <w:pPr>
                        <w:jc w:val="center"/>
                        <w:rPr>
                          <w:sz w:val="24"/>
                        </w:rPr>
                      </w:pPr>
                      <w:r>
                        <w:rPr>
                          <w:rFonts w:hint="eastAsia"/>
                          <w:sz w:val="24"/>
                        </w:rPr>
                        <w:t>现场经理</w:t>
                      </w:r>
                    </w:p>
                  </w:txbxContent>
                </v:textbox>
              </v:shape>
            </w:pict>
          </mc:Fallback>
        </mc:AlternateConten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9744" behindDoc="0" locked="0" layoutInCell="1" allowOverlap="1">
                <wp:simplePos x="0" y="0"/>
                <wp:positionH relativeFrom="column">
                  <wp:posOffset>2667000</wp:posOffset>
                </wp:positionH>
                <wp:positionV relativeFrom="paragraph">
                  <wp:posOffset>0</wp:posOffset>
                </wp:positionV>
                <wp:extent cx="0" cy="396240"/>
                <wp:effectExtent l="38100" t="0" r="38100" b="10160"/>
                <wp:wrapNone/>
                <wp:docPr id="21" name="直线 22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4" o:spid="_x0000_s1026" o:spt="20" style="position:absolute;left:0pt;margin-left:210pt;margin-top:0pt;height:31.2pt;width:0pt;z-index:251679744;mso-width-relative:page;mso-height-relative:page;" filled="f" stroked="t" coordsize="21600,21600" o:gfxdata="UEsDBAoAAAAAAIdO4kAAAAAAAAAAAAAAAAAEAAAAZHJzL1BLAwQUAAAACACHTuJA1+I3MNUAAAAH&#10;AQAADwAAAGRycy9kb3ducmV2LnhtbE2OQUvDQBCF74L/YRnBm92klBJiJj0I9dKqtBXR2zY7JsHs&#10;bMhu2vjvHfFgLwOP9/jmK1aT69SJhtB6RkhnCSjiytuWa4TXw/ouAxWiYWs6z4TwTQFW5fVVYXLr&#10;z7yj0z7WSiAccoPQxNjnWoeqIWfCzPfE0n36wZkocai1HcxZ4K7T8yRZamdalg+N6emhoeprPzqE&#10;3Xa9yd4241QNH4/p8+Fl+/QeMsTbmzS5BxVpiv9j+NUXdSjF6ehHtkF1CAvByxRBrtR/8YiwnC9A&#10;l4W+9C9/AFBLAwQUAAAACACHTuJAlsh2P9YBAACTAwAADgAAAGRycy9lMm9Eb2MueG1srVNLjhMx&#10;EN0jcQfLe9JJMzNiWunMYsKwQRAJOEDFn25L/snlSSdn4Rqs2HCcuQZlJyR8xAaRhVOuKr969ap6&#10;ebd3lu1UQhN8zxezOWfKiyCNH3r+6ePDi1ecYQYvwQaven5QyO9Wz58tp9ipNozBSpUYgXjsptjz&#10;MefYNQ2KUTnAWYjKU1CH5CDTNQ2NTDARurNNO5/fNFNIMqYgFCJ518cgX1V8rZXI77VGlZntOXHL&#10;9Uz13JazWS2hGxLE0YgTDfgHFg6Mp6JnqDVkYI/J/AHljEgBg84zEVwTtDZC1R6om8X8t24+jBBV&#10;7YXEwXiWCf8frHi32yRmZM/bBWceHM3o6fOXp6/fWNteFXmmiB1l3ftNOt0wblLpda+TK//UBdtX&#10;SQ9nSdU+M3F0CvK+vL1pr6razeVdTJjfqOBYMXpujS/NQge7t5ipFqX+SClu69nU89vr9pozAbQr&#10;2kIm00Vij36obzFYIx+MteUFpmF7bxPbQZl+/ZWOCPeXtFJkDTge82rouBejAvnaS5YPkWTxtMC8&#10;UHBKcmYV7XuxCBC6DMZeMnMy4Af7l2wqbz2xKMIepSzWNsgDTeIxJjOMpMaiMi0RmnzlfNrSslo/&#10;3yvS5Vta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4jcw1QAAAAcBAAAPAAAAAAAAAAEAIAAA&#10;ACIAAABkcnMvZG93bnJldi54bWxQSwECFAAUAAAACACHTuJAlsh2P9YBAACTAwAADgAAAAAAAAAB&#10;ACAAAAAkAQAAZHJzL2Uyb0RvYy54bWxQSwUGAAAAAAYABgBZAQAAbAUAAAAA&#10;">
                <v:fill on="f" focussize="0,0"/>
                <v:stroke color="#000000" joinstyle="round" endarrow="block"/>
                <v:imagedata o:title=""/>
                <o:lock v:ext="edit" aspectratio="f"/>
              </v:line>
            </w:pict>
          </mc:Fallback>
        </mc:AlternateConten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3600" behindDoc="0" locked="0" layoutInCell="1" allowOverlap="1">
                <wp:simplePos x="0" y="0"/>
                <wp:positionH relativeFrom="column">
                  <wp:posOffset>2000250</wp:posOffset>
                </wp:positionH>
                <wp:positionV relativeFrom="paragraph">
                  <wp:posOffset>99060</wp:posOffset>
                </wp:positionV>
                <wp:extent cx="1266825" cy="297180"/>
                <wp:effectExtent l="4445" t="4445" r="11430" b="15875"/>
                <wp:wrapNone/>
                <wp:docPr id="15" name="文本框 218"/>
                <wp:cNvGraphicFramePr/>
                <a:graphic xmlns:a="http://schemas.openxmlformats.org/drawingml/2006/main">
                  <a:graphicData uri="http://schemas.microsoft.com/office/word/2010/wordprocessingShape">
                    <wps:wsp>
                      <wps:cNvSpPr txBox="1"/>
                      <wps:spPr>
                        <a:xfrm>
                          <a:off x="0" y="0"/>
                          <a:ext cx="12668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安全员</w:t>
                            </w:r>
                          </w:p>
                        </w:txbxContent>
                      </wps:txbx>
                      <wps:bodyPr wrap="square" upright="1"/>
                    </wps:wsp>
                  </a:graphicData>
                </a:graphic>
              </wp:anchor>
            </w:drawing>
          </mc:Choice>
          <mc:Fallback>
            <w:pict>
              <v:shape id="文本框 218" o:spid="_x0000_s1026" o:spt="202" type="#_x0000_t202" style="position:absolute;left:0pt;margin-left:157.5pt;margin-top:7.8pt;height:23.4pt;width:99.75pt;z-index:251673600;mso-width-relative:page;mso-height-relative:page;" fillcolor="#FFFFFF" filled="t" stroked="t" coordsize="21600,21600" o:gfxdata="UEsDBAoAAAAAAIdO4kAAAAAAAAAAAAAAAAAEAAAAZHJzL1BLAwQUAAAACACHTuJARfi6dtkAAAAJ&#10;AQAADwAAAGRycy9kb3ducmV2LnhtbE2PwU7DMBBE70j8g7VIXBB10iahhDg9IIHgVkpVrm6yTSLs&#10;dbDdtPw9ywmOoxnNvKlWZ2vEhD4MjhSkswQEUuPagToF2/en2yWIEDW12jhCBd8YYFVfXlS6bN2J&#10;3nDaxE5wCYVSK+hjHEspQ9Oj1WHmRiT2Ds5bHVn6TrZen7jcGjlPkkJaPRAv9HrExx6bz83RKlhm&#10;L9NHeF2sd01xMPfx5m56/vJKXV+lyQOIiOf4F4ZffEaHmpn27khtEEbBIs35S2QjL0BwIE+zHMRe&#10;QTHPQNaV/P+g/gFQSwMEFAAAAAgAh07iQGEAQQP9AQAA+QMAAA4AAABkcnMvZTJvRG9jLnhtbK1T&#10;S44TMRDdI3EHy3vSSUsTMq10RoIQNgiQBg5Q8afbkn/YTrpzAbgBKzbsOVfOQdmZycwws0CIXrjL&#10;dtWrV6/Ky6vRaLIXISpnWzqbTCkRljmubNfSz582LxaUxASWg3ZWtPQgIr1aPX+2HHwjatc7zUUg&#10;CGJjM/iW9in5pqoi64WBOHFeWLyULhhIuA1dxQMMiG50VU+n82pwgfvgmIgRT9enS7oq+FIKlj5I&#10;GUUiuqXILZU1lHWb12q1hKYL4HvFbmjAP7AwoCwmPUOtIQHZBfUIyigWXHQyTZgzlZNSMVFqwGpm&#10;0z+que7Bi1ILihP9Wab4/2DZ+/3HQBTH3l1QYsFgj47fvx1//Dr+/Erq2SIrNPjYoOO1R9c0vnIj&#10;et+eRzzMhY8ymPzHkgjeo9aHs75iTITloHo+X9SYh+FdfflytigNqO6ifYjprXCGZKOlAftXZIX9&#10;u5iQCbreuuRk0WnFN0rrsgnd9rUOZA/Y6035MkkMeeCmLRlaenlReACOnNSQkJLxKEK0Xcn3ICLe&#10;B56W7yngTGwNsT8RKAjZDRqjkgjF6gXwN5aTdPCos8UXQTMZIzglWuADylbxTKD033hiddpikblF&#10;p1ZkK43bEWGyuXX8gG0bcMSxvC87CJhz54PqehS4tLEE43wVrW7eQh7g+/uS4u7F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fi6dtkAAAAJAQAADwAAAAAAAAABACAAAAAiAAAAZHJzL2Rvd25y&#10;ZXYueG1sUEsBAhQAFAAAAAgAh07iQGEAQQP9AQAA+QMAAA4AAAAAAAAAAQAgAAAAKAEAAGRycy9l&#10;Mm9Eb2MueG1sUEsFBgAAAAAGAAYAWQEAAJcFAAAAAA==&#10;">
                <v:fill on="t" focussize="0,0"/>
                <v:stroke color="#000000" joinstyle="miter"/>
                <v:imagedata o:title=""/>
                <o:lock v:ext="edit" aspectratio="f"/>
                <v:textbox>
                  <w:txbxContent>
                    <w:p>
                      <w:pPr>
                        <w:jc w:val="center"/>
                        <w:rPr>
                          <w:sz w:val="24"/>
                        </w:rPr>
                      </w:pPr>
                      <w:r>
                        <w:rPr>
                          <w:rFonts w:hint="eastAsia"/>
                          <w:sz w:val="24"/>
                        </w:rPr>
                        <w:t>安全员</w:t>
                      </w:r>
                    </w:p>
                  </w:txbxContent>
                </v:textbox>
              </v:shape>
            </w:pict>
          </mc:Fallback>
        </mc:AlternateConten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80768" behindDoc="0" locked="0" layoutInCell="1" allowOverlap="1">
                <wp:simplePos x="0" y="0"/>
                <wp:positionH relativeFrom="column">
                  <wp:posOffset>2667000</wp:posOffset>
                </wp:positionH>
                <wp:positionV relativeFrom="paragraph">
                  <wp:posOffset>99060</wp:posOffset>
                </wp:positionV>
                <wp:extent cx="0" cy="396240"/>
                <wp:effectExtent l="38100" t="0" r="38100" b="10160"/>
                <wp:wrapNone/>
                <wp:docPr id="22" name="直线 22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5" o:spid="_x0000_s1026" o:spt="20" style="position:absolute;left:0pt;margin-left:210pt;margin-top:7.8pt;height:31.2pt;width:0pt;z-index:251680768;mso-width-relative:page;mso-height-relative:page;" filled="f" stroked="t" coordsize="21600,21600" o:gfxdata="UEsDBAoAAAAAAIdO4kAAAAAAAAAAAAAAAAAEAAAAZHJzL1BLAwQUAAAACACHTuJADbaM29cAAAAJ&#10;AQAADwAAAGRycy9kb3ducmV2LnhtbE2PwU7DMAyG70i8Q2QkbiwpglGVpjsgjcsGaBtCcMsa01Y0&#10;TpWkW3l7jHaAo/3/+vy5XEyuFwcMsfOkIZspEEi1tx01Gl53y6scREyGrOk9oYZvjLCozs9KU1h/&#10;pA0etqkRDKFYGA1tSkMhZaxbdCbO/IDE2acPziQeQyNtMEeGu15eKzWXznTEF1oz4EOL9dd2dBo2&#10;6+Uqf1uNUx0+HrPn3cv66T3mWl9eZOoeRMIp/ZXhV5/VoWKnvR/JRtFruGE8Vzm4nYPgwmmx13CX&#10;K5BVKf9/UP0AUEsDBBQAAAAIAIdO4kDjjz6r1QEAAJMDAAAOAAAAZHJzL2Uyb0RvYy54bWytU0uO&#10;EzEQ3SNxB8t70knDjJhWOrOYMGwQRGI4QMWfbkv+yeVJJ2fhGqzYcJy5BmUnJHzEBpGFU64qv3r1&#10;qnp5u3eW7VRCE3zPF7M5Z8qLII0fev7p4f7Fa84wg5dgg1c9Pyjkt6vnz5ZT7FQbxmClSoxAPHZT&#10;7PmYc+yaBsWoHOAsROUpqENykOmahkYmmAjd2aadz6+bKSQZUxAKkbzrY5CvKr7WSuQPWqPKzPac&#10;uOV6pnpuy9msltANCeJoxIkG/AMLB8ZT0TPUGjKwx2T+gHJGpIBB55kIrglaG6FqD9TNYv5bNx9H&#10;iKr2QuJgPMuE/w9WvN9tEjOy523LmQdHM3r6/OXp6zfWtldFniliR1l3fpNON4ybVHrd6+TKP3XB&#10;9lXSw1lStc9MHJ2CvC9vrttXVe3m8i4mzG9VcKwYPbfGl2ahg907zFSLUn+kFLf1bOr5zRXRYgJo&#10;V7SFTKaLxB79UN9isEbeG2vLC0zD9s4mtoMy/forHRHuL2mlyBpwPObV0HEvRgXyjZcsHyLJ4mmB&#10;eaHglOTMKtr3YhEgdBmMvWTmZMAP9i/ZVN56YlGEPUpZrG2QB5rEY0xmGEmNRWVaIjT5yvm0pWW1&#10;fr5XpMu3tP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baM29cAAAAJAQAADwAAAAAAAAABACAA&#10;AAAiAAAAZHJzL2Rvd25yZXYueG1sUEsBAhQAFAAAAAgAh07iQOOPPqvVAQAAkwMAAA4AAAAAAAAA&#10;AQAgAAAAJgEAAGRycy9lMm9Eb2MueG1sUEsFBgAAAAAGAAYAWQEAAG0FAAAAAA==&#10;">
                <v:fill on="f" focussize="0,0"/>
                <v:stroke color="#000000" joinstyle="round" endarrow="block"/>
                <v:imagedata o:title=""/>
                <o:lock v:ext="edit" aspectratio="f"/>
              </v:line>
            </w:pict>
          </mc:Fallback>
        </mc:AlternateConten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74624" behindDoc="0" locked="0" layoutInCell="1" allowOverlap="1">
                <wp:simplePos x="0" y="0"/>
                <wp:positionH relativeFrom="column">
                  <wp:posOffset>2000250</wp:posOffset>
                </wp:positionH>
                <wp:positionV relativeFrom="paragraph">
                  <wp:posOffset>198120</wp:posOffset>
                </wp:positionV>
                <wp:extent cx="1266825" cy="297180"/>
                <wp:effectExtent l="4445" t="4445" r="11430" b="15875"/>
                <wp:wrapNone/>
                <wp:docPr id="16" name="文本框 219"/>
                <wp:cNvGraphicFramePr/>
                <a:graphic xmlns:a="http://schemas.openxmlformats.org/drawingml/2006/main">
                  <a:graphicData uri="http://schemas.microsoft.com/office/word/2010/wordprocessingShape">
                    <wps:wsp>
                      <wps:cNvSpPr txBox="1"/>
                      <wps:spPr>
                        <a:xfrm>
                          <a:off x="0" y="0"/>
                          <a:ext cx="12668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现场施工人员</w:t>
                            </w:r>
                          </w:p>
                        </w:txbxContent>
                      </wps:txbx>
                      <wps:bodyPr wrap="square" upright="1"/>
                    </wps:wsp>
                  </a:graphicData>
                </a:graphic>
              </wp:anchor>
            </w:drawing>
          </mc:Choice>
          <mc:Fallback>
            <w:pict>
              <v:shape id="文本框 219" o:spid="_x0000_s1026" o:spt="202" type="#_x0000_t202" style="position:absolute;left:0pt;margin-left:157.5pt;margin-top:15.6pt;height:23.4pt;width:99.75pt;z-index:251674624;mso-width-relative:page;mso-height-relative:page;" fillcolor="#FFFFFF" filled="t" stroked="t" coordsize="21600,21600" o:gfxdata="UEsDBAoAAAAAAIdO4kAAAAAAAAAAAAAAAAAEAAAAZHJzL1BLAwQUAAAACACHTuJAqiV+wdkAAAAJ&#10;AQAADwAAAGRycy9kb3ducmV2LnhtbE2PwU7DMBBE70j8g7VIXBC10zZtCHF6QALBrZSqXN14m0TY&#10;62C7afl73BPcZjWj2TfV6mwNG9GH3pGEbCKAITVO99RK2H483xfAQlSklXGEEn4wwKq+vqpUqd2J&#10;3nHcxJalEgqlktDFOJSch6ZDq8LEDUjJOzhvVUynb7n26pTKreFTIRbcqp7Sh04N+NRh87U5WgnF&#10;/HX8DG+z9a5ZHMxDvFuOL99eytubTDwCi3iOf2G44Cd0qBPT3h1JB2YkzLI8bYkXMQWWAnk2z4Ht&#10;JSwLAbyu+P8F9S9QSwMEFAAAAAgAh07iQKf1ZG/9AQAA+QMAAA4AAABkcnMvZTJvRG9jLnhtbK1T&#10;S44TMRDdI3EHy3vSSUsTklY6I0EIGwRIAweo+NNtyT9sJ925ANyAFRv2nCvnoOzMZGaABUL0wl22&#10;q169elVeXY9Gk4MIUTnb0tlkSomwzHFlu5Z+/LB9tqAkJrActLOipUcR6fX66ZPV4BtRu95pLgJB&#10;EBubwbe0T8k3VRVZLwzEifPC4qV0wUDCbegqHmBAdKOrejqdV4ML3AfHRIx4ujlf0nXBl1Kw9E7K&#10;KBLRLUVuqayhrLu8VusVNF0A3yt2SwP+gYUBZTHpBWoDCcg+qN+gjGLBRSfThDlTOSkVE6UGrGY2&#10;/aWamx68KLWgONFfZIr/D5a9PbwPRHHs3ZwSCwZ7dPr65fTtx+n7Z1LPllmhwccGHW88uqbxhRvR&#10;++484mEufJTB5D+WRPAetT5e9BVjIiwH1fP5or6ihOFdvXw+W5QGVPfRPsT0WjhDstHSgP0rssLh&#10;TUzIBF3vXHKy6LTiW6V12YRu91IHcgDs9bZ8mSSGPHLTlgwtXV4VHoAjJzUkpGQ8ihBtV/I9iogP&#10;gafl+xNwJraB2J8JFITsBo1RSYRi9QL4K8tJOnrU2eKLoJmMEZwSLfABZat4JlD6bzyxOm2xyNyi&#10;cyuylcbdiDDZ3Dl+xLYNOOJY3qc9BMy590F1PQpc2liCcb6KVrdvIQ/ww31Jcf9i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iV+wdkAAAAJAQAADwAAAAAAAAABACAAAAAiAAAAZHJzL2Rvd25y&#10;ZXYueG1sUEsBAhQAFAAAAAgAh07iQKf1ZG/9AQAA+QMAAA4AAAAAAAAAAQAgAAAAKAEAAGRycy9l&#10;Mm9Eb2MueG1sUEsFBgAAAAAGAAYAWQEAAJcFAAAAAA==&#10;">
                <v:fill on="t" focussize="0,0"/>
                <v:stroke color="#000000" joinstyle="miter"/>
                <v:imagedata o:title=""/>
                <o:lock v:ext="edit" aspectratio="f"/>
                <v:textbox>
                  <w:txbxContent>
                    <w:p>
                      <w:pPr>
                        <w:jc w:val="center"/>
                        <w:rPr>
                          <w:sz w:val="24"/>
                        </w:rPr>
                      </w:pPr>
                      <w:r>
                        <w:rPr>
                          <w:rFonts w:hint="eastAsia"/>
                          <w:sz w:val="24"/>
                        </w:rPr>
                        <w:t>现场施工人员</w:t>
                      </w:r>
                    </w:p>
                  </w:txbxContent>
                </v:textbox>
              </v:shape>
            </w:pict>
          </mc:Fallback>
        </mc:AlternateContent>
      </w:r>
    </w:p>
    <w:p>
      <w:pPr>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83" w:name="_Toc322782521"/>
      <w:bookmarkStart w:id="384" w:name="_Toc322736655"/>
      <w:r>
        <w:rPr>
          <w:rFonts w:hint="eastAsia" w:asciiTheme="minorEastAsia" w:hAnsiTheme="minorEastAsia" w:eastAsiaTheme="minorEastAsia" w:cstheme="minorEastAsia"/>
          <w:sz w:val="24"/>
          <w:szCs w:val="24"/>
          <w:lang w:val="en-US" w:eastAsia="zh-CN"/>
        </w:rPr>
        <w:t>4.安全管理规定</w:t>
      </w:r>
      <w:bookmarkEnd w:id="383"/>
      <w:bookmarkEnd w:id="38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85" w:name="_Toc322736656"/>
      <w:bookmarkStart w:id="386" w:name="_Toc322782522"/>
      <w:r>
        <w:rPr>
          <w:rFonts w:hint="eastAsia" w:asciiTheme="minorEastAsia" w:hAnsiTheme="minorEastAsia" w:eastAsiaTheme="minorEastAsia" w:cstheme="minorEastAsia"/>
          <w:sz w:val="24"/>
          <w:szCs w:val="24"/>
          <w:lang w:val="en-US" w:eastAsia="zh-CN"/>
        </w:rPr>
        <w:t>4.1 施工前施工人员必须接受厂方安全教育，了解施工厂方安全生产的特点，制定相应安全措施并严格执行。牢固树立“以人为本，安全第一 ”的宗旨，坚持每天的安全例会制度，做到每天布置工作时必须先讲安全。</w:t>
      </w:r>
      <w:bookmarkEnd w:id="385"/>
      <w:bookmarkEnd w:id="38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87" w:name="_Toc322782523"/>
      <w:bookmarkStart w:id="388" w:name="_Toc322736657"/>
      <w:r>
        <w:rPr>
          <w:rFonts w:hint="eastAsia" w:asciiTheme="minorEastAsia" w:hAnsiTheme="minorEastAsia" w:eastAsiaTheme="minorEastAsia" w:cstheme="minorEastAsia"/>
          <w:sz w:val="24"/>
          <w:szCs w:val="24"/>
          <w:lang w:val="en-US" w:eastAsia="zh-CN"/>
        </w:rPr>
        <w:t>4.2 施工人员进入工地须佩带安全帽，登高基准面2米以上(含2米)作业时须系好安全带，主体交叉作业应尽量避免相互干扰，不得往下抛扔材料和工具等物件，应做到上下呼应、用绳子接递，防止事故发生。</w:t>
      </w:r>
      <w:bookmarkEnd w:id="387"/>
      <w:bookmarkEnd w:id="38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89" w:name="_Toc322736658"/>
      <w:bookmarkStart w:id="390" w:name="_Toc322782524"/>
      <w:r>
        <w:rPr>
          <w:rFonts w:hint="eastAsia" w:asciiTheme="minorEastAsia" w:hAnsiTheme="minorEastAsia" w:eastAsiaTheme="minorEastAsia" w:cstheme="minorEastAsia"/>
          <w:sz w:val="24"/>
          <w:szCs w:val="24"/>
          <w:lang w:val="en-US" w:eastAsia="zh-CN"/>
        </w:rPr>
        <w:t>4.3 进入筒节内施工前、准备好通风装置，同时做好塔外监护工作。</w:t>
      </w:r>
      <w:bookmarkEnd w:id="389"/>
      <w:bookmarkEnd w:id="390"/>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91" w:name="_Toc322736659"/>
      <w:bookmarkStart w:id="392" w:name="_Toc322782525"/>
      <w:r>
        <w:rPr>
          <w:rFonts w:hint="eastAsia" w:asciiTheme="minorEastAsia" w:hAnsiTheme="minorEastAsia" w:eastAsiaTheme="minorEastAsia" w:cstheme="minorEastAsia"/>
          <w:sz w:val="24"/>
          <w:szCs w:val="24"/>
          <w:lang w:val="en-US" w:eastAsia="zh-CN"/>
        </w:rPr>
        <w:t>4.4用电设施的维修必须由专业人员进行，不得随意私拉乱接。各种电动工具必须有效地安全接地和防雷，配备防漏电保护装置。各种电器及接线必须符合安全规定，不得使用赤膊线，电缆穿过道路时须做好防护，地线须可靠。</w:t>
      </w:r>
      <w:bookmarkEnd w:id="391"/>
      <w:bookmarkEnd w:id="392"/>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93" w:name="_Toc322736660"/>
      <w:bookmarkStart w:id="394" w:name="_Toc322782526"/>
      <w:r>
        <w:rPr>
          <w:rFonts w:hint="eastAsia" w:asciiTheme="minorEastAsia" w:hAnsiTheme="minorEastAsia" w:eastAsiaTheme="minorEastAsia" w:cstheme="minorEastAsia"/>
          <w:sz w:val="24"/>
          <w:szCs w:val="24"/>
          <w:lang w:val="en-US" w:eastAsia="zh-CN"/>
        </w:rPr>
        <w:t>4.5 施工现场必须配备足够的灭火、消防器材。</w:t>
      </w:r>
      <w:bookmarkEnd w:id="393"/>
      <w:bookmarkEnd w:id="394"/>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95" w:name="_Toc322736661"/>
      <w:bookmarkStart w:id="396" w:name="_Toc322782527"/>
      <w:r>
        <w:rPr>
          <w:rFonts w:hint="eastAsia" w:asciiTheme="minorEastAsia" w:hAnsiTheme="minorEastAsia" w:eastAsiaTheme="minorEastAsia" w:cstheme="minorEastAsia"/>
          <w:sz w:val="24"/>
          <w:szCs w:val="24"/>
          <w:lang w:val="en-US" w:eastAsia="zh-CN"/>
        </w:rPr>
        <w:t>4.6 施工现场严禁吸烟，禁止任何明火。确需使用明火时须征得业主的同意，并安排好相应措施后方可使用明火。</w:t>
      </w:r>
      <w:bookmarkEnd w:id="395"/>
      <w:bookmarkEnd w:id="396"/>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97" w:name="_Toc322736662"/>
      <w:bookmarkStart w:id="398" w:name="_Toc322782528"/>
      <w:r>
        <w:rPr>
          <w:rFonts w:hint="eastAsia" w:asciiTheme="minorEastAsia" w:hAnsiTheme="minorEastAsia" w:eastAsiaTheme="minorEastAsia" w:cstheme="minorEastAsia"/>
          <w:sz w:val="24"/>
          <w:szCs w:val="24"/>
          <w:lang w:val="en-US" w:eastAsia="zh-CN"/>
        </w:rPr>
        <w:t>4.7 使用脚手前须进行仔细检查，搭设的脚手架应符合规定，绑扎应牢固，跳板应结实、不得有探头板。施工人员不得在高空作业时打闹，不得在脚手上打瞌睡。</w:t>
      </w:r>
      <w:bookmarkEnd w:id="397"/>
      <w:bookmarkEnd w:id="398"/>
    </w:p>
    <w:p>
      <w:pPr>
        <w:spacing w:line="360" w:lineRule="auto"/>
        <w:ind w:firstLine="480" w:firstLineChars="200"/>
        <w:rPr>
          <w:rFonts w:hint="eastAsia" w:asciiTheme="minorEastAsia" w:hAnsiTheme="minorEastAsia" w:eastAsiaTheme="minorEastAsia" w:cstheme="minorEastAsia"/>
          <w:sz w:val="24"/>
          <w:szCs w:val="24"/>
          <w:lang w:val="en-US" w:eastAsia="zh-CN"/>
        </w:rPr>
      </w:pPr>
      <w:bookmarkStart w:id="399" w:name="_Toc322736663"/>
      <w:bookmarkStart w:id="400" w:name="_Toc322782529"/>
      <w:r>
        <w:rPr>
          <w:rFonts w:hint="eastAsia" w:asciiTheme="minorEastAsia" w:hAnsiTheme="minorEastAsia" w:eastAsiaTheme="minorEastAsia" w:cstheme="minorEastAsia"/>
          <w:sz w:val="24"/>
          <w:szCs w:val="24"/>
          <w:lang w:val="en-US" w:eastAsia="zh-CN"/>
        </w:rPr>
        <w:t>4.8 施工中各种化工原料不准随便乱倒。严禁有跑、冒、滴、漏的现象。不得使用碘钨灯烘烤未固化的玻璃钢铺层，以防引起火灾。</w:t>
      </w:r>
      <w:bookmarkEnd w:id="399"/>
      <w:bookmarkEnd w:id="400"/>
    </w:p>
    <w:p>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4.9 固化剂、促进剂须分车运输，储存时应分开摆放(距离不得小于20米)，使用时应严格分开，坚决杜绝使用同一容器，防止爆炸。</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4.10 吊装作业时，机具、索具均不得超负荷使用，注意系牢钢丝绳，不得站于吊臂及重物下，要指挥信号明确、分工明确、协调一致，遇六级以上大风大雾天气，不得进行吊装作业。</w:t>
      </w:r>
    </w:p>
    <w:sectPr>
      <w:footerReference r:id="rId5" w:type="default"/>
      <w:pgSz w:w="11906" w:h="16838"/>
      <w:pgMar w:top="1531" w:right="1418" w:bottom="1418"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variable"/>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eastAsia="zh-CN"/>
      </w:rPr>
    </w:pPr>
    <w:r>
      <w:rPr>
        <w:rFonts w:hint="eastAsia" w:eastAsia="宋体"/>
        <w:lang w:eastAsia="zh-CN"/>
      </w:rPr>
      <w:drawing>
        <wp:inline distT="0" distB="0" distL="114300" distR="114300">
          <wp:extent cx="5575935" cy="467995"/>
          <wp:effectExtent l="0" t="0" r="12065" b="1905"/>
          <wp:docPr id="52"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6"/>
                  <pic:cNvPicPr>
                    <a:picLocks noChangeAspect="1"/>
                  </pic:cNvPicPr>
                </pic:nvPicPr>
                <pic:blipFill>
                  <a:blip r:embed="rId1"/>
                  <a:stretch>
                    <a:fillRect/>
                  </a:stretch>
                </pic:blipFill>
                <pic:spPr>
                  <a:xfrm>
                    <a:off x="0" y="0"/>
                    <a:ext cx="5575935" cy="467995"/>
                  </a:xfrm>
                  <a:prstGeom prst="rect">
                    <a:avLst/>
                  </a:prstGeom>
                  <a:noFill/>
                  <a:ln w="9525">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between w:val="none" w:color="auto" w:sz="0" w:space="0"/>
      </w:pBdr>
      <w:jc w:val="left"/>
      <w:rPr>
        <w:rFonts w:hint="eastAsia" w:ascii="Arial" w:hAnsi="Arial" w:eastAsia="宋体" w:cs="Arial"/>
        <w:b/>
        <w:sz w:val="18"/>
        <w:szCs w:val="1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lvlText w:val="%1.%2.%3"/>
      <w:lvlJc w:val="left"/>
      <w:pPr>
        <w:tabs>
          <w:tab w:val="left" w:pos="0"/>
        </w:tabs>
        <w:ind w:left="0" w:firstLine="0"/>
      </w:pPr>
      <w:rPr>
        <w:rFonts w:hint="eastAsia"/>
      </w:rPr>
    </w:lvl>
    <w:lvl w:ilvl="3" w:tentative="0">
      <w:start w:val="1"/>
      <w:numFmt w:val="decimal"/>
      <w:lvlText w:val="%1.3.%3.2"/>
      <w:lvlJc w:val="left"/>
      <w:pPr>
        <w:tabs>
          <w:tab w:val="left" w:pos="720"/>
        </w:tabs>
        <w:ind w:left="0" w:firstLine="0"/>
      </w:pPr>
      <w:rPr>
        <w:rFonts w:hint="eastAsia"/>
      </w:rPr>
    </w:lvl>
    <w:lvl w:ilvl="4" w:tentative="0">
      <w:start w:val="1"/>
      <w:numFmt w:val="decimal"/>
      <w:lvlText w:val="(%5)"/>
      <w:lvlJc w:val="left"/>
      <w:pPr>
        <w:tabs>
          <w:tab w:val="left" w:pos="360"/>
        </w:tabs>
        <w:ind w:left="0" w:firstLine="0"/>
      </w:pPr>
      <w:rPr>
        <w:rFonts w:hint="eastAsia"/>
        <w:caps w:val="0"/>
        <w:strike w:val="0"/>
        <w:dstrike w:val="0"/>
        <w:outline w:val="0"/>
        <w:shadow w:val="0"/>
        <w:emboss w:val="0"/>
        <w:imprint w:val="0"/>
        <w:vanish w:val="0"/>
        <w:vertAlign w:val="baseline"/>
      </w:rPr>
    </w:lvl>
    <w:lvl w:ilvl="5" w:tentative="0">
      <w:start w:val="1"/>
      <w:numFmt w:val="decimal"/>
      <w:lvlText w:val="%6)"/>
      <w:lvlJc w:val="left"/>
      <w:pPr>
        <w:tabs>
          <w:tab w:val="left" w:pos="0"/>
        </w:tabs>
        <w:ind w:left="0" w:firstLine="0"/>
      </w:pPr>
      <w:rPr>
        <w:rFonts w:hint="eastAsia"/>
      </w:rPr>
    </w:lvl>
    <w:lvl w:ilvl="6" w:tentative="0">
      <w:start w:val="1"/>
      <w:numFmt w:val="lowerLetter"/>
      <w:lvlText w:val="(%7)"/>
      <w:lvlJc w:val="left"/>
      <w:pPr>
        <w:tabs>
          <w:tab w:val="left" w:pos="0"/>
        </w:tabs>
        <w:ind w:left="0" w:firstLine="0"/>
      </w:pPr>
      <w:rPr>
        <w:rFonts w:hint="eastAsia"/>
      </w:rPr>
    </w:lvl>
    <w:lvl w:ilvl="7" w:tentative="0">
      <w:start w:val="1"/>
      <w:numFmt w:val="lowerLetter"/>
      <w:lvlText w:val="%8)"/>
      <w:lvlJc w:val="left"/>
      <w:pPr>
        <w:tabs>
          <w:tab w:val="left" w:pos="0"/>
        </w:tabs>
        <w:ind w:left="0" w:firstLine="0"/>
      </w:pPr>
      <w:rPr>
        <w:rFonts w:hint="eastAsia"/>
      </w:rPr>
    </w:lvl>
    <w:lvl w:ilvl="8" w:tentative="0">
      <w:start w:val="1"/>
      <w:numFmt w:val="decimal"/>
      <w:lvlText w:val="%8).%9"/>
      <w:lvlJc w:val="left"/>
      <w:pPr>
        <w:tabs>
          <w:tab w:val="left" w:pos="0"/>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2B"/>
    <w:rsid w:val="0000090F"/>
    <w:rsid w:val="00000E16"/>
    <w:rsid w:val="000010B6"/>
    <w:rsid w:val="00001ED1"/>
    <w:rsid w:val="00003668"/>
    <w:rsid w:val="0000520A"/>
    <w:rsid w:val="000053D9"/>
    <w:rsid w:val="00011699"/>
    <w:rsid w:val="00012574"/>
    <w:rsid w:val="00014034"/>
    <w:rsid w:val="000203FD"/>
    <w:rsid w:val="00020615"/>
    <w:rsid w:val="00020AE1"/>
    <w:rsid w:val="00020F30"/>
    <w:rsid w:val="00022F82"/>
    <w:rsid w:val="00024C98"/>
    <w:rsid w:val="000267AE"/>
    <w:rsid w:val="00026BDB"/>
    <w:rsid w:val="000271A5"/>
    <w:rsid w:val="000274DA"/>
    <w:rsid w:val="00027CDF"/>
    <w:rsid w:val="000321A0"/>
    <w:rsid w:val="00033825"/>
    <w:rsid w:val="00033848"/>
    <w:rsid w:val="00035036"/>
    <w:rsid w:val="000416DD"/>
    <w:rsid w:val="00041A2D"/>
    <w:rsid w:val="00043606"/>
    <w:rsid w:val="0004468D"/>
    <w:rsid w:val="0004719F"/>
    <w:rsid w:val="00047C39"/>
    <w:rsid w:val="00050DAB"/>
    <w:rsid w:val="00051863"/>
    <w:rsid w:val="00051911"/>
    <w:rsid w:val="00052227"/>
    <w:rsid w:val="00054B9A"/>
    <w:rsid w:val="000574B5"/>
    <w:rsid w:val="000607F1"/>
    <w:rsid w:val="00060E7A"/>
    <w:rsid w:val="00061359"/>
    <w:rsid w:val="00061418"/>
    <w:rsid w:val="000616C1"/>
    <w:rsid w:val="000629A0"/>
    <w:rsid w:val="0006354F"/>
    <w:rsid w:val="000635CA"/>
    <w:rsid w:val="00066739"/>
    <w:rsid w:val="00066E0B"/>
    <w:rsid w:val="00066EB0"/>
    <w:rsid w:val="0007081B"/>
    <w:rsid w:val="00073285"/>
    <w:rsid w:val="00074A52"/>
    <w:rsid w:val="000770E7"/>
    <w:rsid w:val="0007711A"/>
    <w:rsid w:val="00080D15"/>
    <w:rsid w:val="0008162D"/>
    <w:rsid w:val="000875C7"/>
    <w:rsid w:val="00092914"/>
    <w:rsid w:val="0009326B"/>
    <w:rsid w:val="000959DD"/>
    <w:rsid w:val="000A0D8C"/>
    <w:rsid w:val="000A294F"/>
    <w:rsid w:val="000A3739"/>
    <w:rsid w:val="000A5D97"/>
    <w:rsid w:val="000A5FDC"/>
    <w:rsid w:val="000A6289"/>
    <w:rsid w:val="000A7653"/>
    <w:rsid w:val="000B0ED4"/>
    <w:rsid w:val="000B1581"/>
    <w:rsid w:val="000B1AA8"/>
    <w:rsid w:val="000B3560"/>
    <w:rsid w:val="000B5BD4"/>
    <w:rsid w:val="000B7D86"/>
    <w:rsid w:val="000C0639"/>
    <w:rsid w:val="000C45DF"/>
    <w:rsid w:val="000C583D"/>
    <w:rsid w:val="000C5A1E"/>
    <w:rsid w:val="000C61C7"/>
    <w:rsid w:val="000C6F4C"/>
    <w:rsid w:val="000C7670"/>
    <w:rsid w:val="000D19F6"/>
    <w:rsid w:val="000D22F1"/>
    <w:rsid w:val="000D3237"/>
    <w:rsid w:val="000D69A5"/>
    <w:rsid w:val="000E1F1A"/>
    <w:rsid w:val="000E2CE1"/>
    <w:rsid w:val="000E3474"/>
    <w:rsid w:val="000E41D0"/>
    <w:rsid w:val="000E529D"/>
    <w:rsid w:val="000E5BBC"/>
    <w:rsid w:val="000E7C4D"/>
    <w:rsid w:val="000E7F3C"/>
    <w:rsid w:val="000F0188"/>
    <w:rsid w:val="000F2319"/>
    <w:rsid w:val="000F26E4"/>
    <w:rsid w:val="000F4381"/>
    <w:rsid w:val="000F4624"/>
    <w:rsid w:val="000F4744"/>
    <w:rsid w:val="000F47B0"/>
    <w:rsid w:val="000F4B41"/>
    <w:rsid w:val="000F7563"/>
    <w:rsid w:val="0010022C"/>
    <w:rsid w:val="001053CD"/>
    <w:rsid w:val="00107802"/>
    <w:rsid w:val="00107F94"/>
    <w:rsid w:val="001101A2"/>
    <w:rsid w:val="00111346"/>
    <w:rsid w:val="00112DAA"/>
    <w:rsid w:val="00116158"/>
    <w:rsid w:val="00123319"/>
    <w:rsid w:val="001247FD"/>
    <w:rsid w:val="00124DCF"/>
    <w:rsid w:val="00125596"/>
    <w:rsid w:val="00126C56"/>
    <w:rsid w:val="001303F0"/>
    <w:rsid w:val="00130ACE"/>
    <w:rsid w:val="001343C3"/>
    <w:rsid w:val="00135C71"/>
    <w:rsid w:val="00136F80"/>
    <w:rsid w:val="00140412"/>
    <w:rsid w:val="001419AD"/>
    <w:rsid w:val="00147072"/>
    <w:rsid w:val="00150915"/>
    <w:rsid w:val="00150E76"/>
    <w:rsid w:val="0015117C"/>
    <w:rsid w:val="00151F2E"/>
    <w:rsid w:val="00152163"/>
    <w:rsid w:val="00152A5A"/>
    <w:rsid w:val="00153A3D"/>
    <w:rsid w:val="00156C63"/>
    <w:rsid w:val="00160496"/>
    <w:rsid w:val="00164591"/>
    <w:rsid w:val="00165A17"/>
    <w:rsid w:val="00170428"/>
    <w:rsid w:val="0017066C"/>
    <w:rsid w:val="001710D1"/>
    <w:rsid w:val="00173850"/>
    <w:rsid w:val="00174D40"/>
    <w:rsid w:val="00175514"/>
    <w:rsid w:val="0017560E"/>
    <w:rsid w:val="00176778"/>
    <w:rsid w:val="001828B0"/>
    <w:rsid w:val="00183029"/>
    <w:rsid w:val="00183433"/>
    <w:rsid w:val="001850F4"/>
    <w:rsid w:val="00190F10"/>
    <w:rsid w:val="001949CD"/>
    <w:rsid w:val="00194E7F"/>
    <w:rsid w:val="00195BF0"/>
    <w:rsid w:val="00195CEC"/>
    <w:rsid w:val="00195D43"/>
    <w:rsid w:val="00195EA9"/>
    <w:rsid w:val="001972D3"/>
    <w:rsid w:val="001A168A"/>
    <w:rsid w:val="001A301E"/>
    <w:rsid w:val="001A3E25"/>
    <w:rsid w:val="001A53A4"/>
    <w:rsid w:val="001A7A68"/>
    <w:rsid w:val="001B0080"/>
    <w:rsid w:val="001B1912"/>
    <w:rsid w:val="001B2769"/>
    <w:rsid w:val="001B2FE0"/>
    <w:rsid w:val="001B34EA"/>
    <w:rsid w:val="001B3F39"/>
    <w:rsid w:val="001B57AC"/>
    <w:rsid w:val="001B6055"/>
    <w:rsid w:val="001B68A5"/>
    <w:rsid w:val="001B7784"/>
    <w:rsid w:val="001B7984"/>
    <w:rsid w:val="001C04CE"/>
    <w:rsid w:val="001C3873"/>
    <w:rsid w:val="001C539B"/>
    <w:rsid w:val="001C597B"/>
    <w:rsid w:val="001C68D3"/>
    <w:rsid w:val="001D081A"/>
    <w:rsid w:val="001D23DB"/>
    <w:rsid w:val="001D25DF"/>
    <w:rsid w:val="001D3E50"/>
    <w:rsid w:val="001D429A"/>
    <w:rsid w:val="001D5243"/>
    <w:rsid w:val="001D5287"/>
    <w:rsid w:val="001D5EFD"/>
    <w:rsid w:val="001D6733"/>
    <w:rsid w:val="001D7973"/>
    <w:rsid w:val="001E2B22"/>
    <w:rsid w:val="001E4DE6"/>
    <w:rsid w:val="001F074F"/>
    <w:rsid w:val="001F13F8"/>
    <w:rsid w:val="001F1572"/>
    <w:rsid w:val="001F2BAA"/>
    <w:rsid w:val="001F35BF"/>
    <w:rsid w:val="001F4F9F"/>
    <w:rsid w:val="002002E8"/>
    <w:rsid w:val="00200AA5"/>
    <w:rsid w:val="00200E25"/>
    <w:rsid w:val="0020380C"/>
    <w:rsid w:val="002070C2"/>
    <w:rsid w:val="00211065"/>
    <w:rsid w:val="00211708"/>
    <w:rsid w:val="002135BB"/>
    <w:rsid w:val="00213B37"/>
    <w:rsid w:val="00214935"/>
    <w:rsid w:val="00215080"/>
    <w:rsid w:val="0021561F"/>
    <w:rsid w:val="002216EA"/>
    <w:rsid w:val="002220A9"/>
    <w:rsid w:val="002236A4"/>
    <w:rsid w:val="002239CB"/>
    <w:rsid w:val="00224E01"/>
    <w:rsid w:val="00232382"/>
    <w:rsid w:val="00232BE2"/>
    <w:rsid w:val="00233714"/>
    <w:rsid w:val="00234129"/>
    <w:rsid w:val="00234D1D"/>
    <w:rsid w:val="002361E0"/>
    <w:rsid w:val="0024205A"/>
    <w:rsid w:val="002423FC"/>
    <w:rsid w:val="00242B84"/>
    <w:rsid w:val="00244860"/>
    <w:rsid w:val="002454AB"/>
    <w:rsid w:val="00247281"/>
    <w:rsid w:val="0025023B"/>
    <w:rsid w:val="00252645"/>
    <w:rsid w:val="00253398"/>
    <w:rsid w:val="00253406"/>
    <w:rsid w:val="00253953"/>
    <w:rsid w:val="00253DE0"/>
    <w:rsid w:val="0025685F"/>
    <w:rsid w:val="00257CFB"/>
    <w:rsid w:val="002649F9"/>
    <w:rsid w:val="0027052A"/>
    <w:rsid w:val="002716BA"/>
    <w:rsid w:val="002717DD"/>
    <w:rsid w:val="00273029"/>
    <w:rsid w:val="00275C6C"/>
    <w:rsid w:val="00282074"/>
    <w:rsid w:val="00284521"/>
    <w:rsid w:val="00290049"/>
    <w:rsid w:val="0029032D"/>
    <w:rsid w:val="00290BAE"/>
    <w:rsid w:val="002920D3"/>
    <w:rsid w:val="00292AB0"/>
    <w:rsid w:val="00294A01"/>
    <w:rsid w:val="002A13D7"/>
    <w:rsid w:val="002A17C2"/>
    <w:rsid w:val="002A45D6"/>
    <w:rsid w:val="002A7896"/>
    <w:rsid w:val="002B1FEC"/>
    <w:rsid w:val="002B3E2B"/>
    <w:rsid w:val="002B4ABB"/>
    <w:rsid w:val="002B568D"/>
    <w:rsid w:val="002B62D3"/>
    <w:rsid w:val="002B654A"/>
    <w:rsid w:val="002B673C"/>
    <w:rsid w:val="002C1190"/>
    <w:rsid w:val="002C2948"/>
    <w:rsid w:val="002C4331"/>
    <w:rsid w:val="002C4CAB"/>
    <w:rsid w:val="002C5202"/>
    <w:rsid w:val="002D155D"/>
    <w:rsid w:val="002D4288"/>
    <w:rsid w:val="002D581B"/>
    <w:rsid w:val="002E25DB"/>
    <w:rsid w:val="002E4612"/>
    <w:rsid w:val="002E49EB"/>
    <w:rsid w:val="002E4BBD"/>
    <w:rsid w:val="002E6097"/>
    <w:rsid w:val="002F47E2"/>
    <w:rsid w:val="002F5E19"/>
    <w:rsid w:val="002F6916"/>
    <w:rsid w:val="002F698D"/>
    <w:rsid w:val="002F6B96"/>
    <w:rsid w:val="003049E5"/>
    <w:rsid w:val="0031032A"/>
    <w:rsid w:val="0031279E"/>
    <w:rsid w:val="0031701B"/>
    <w:rsid w:val="00317BAE"/>
    <w:rsid w:val="00321A1A"/>
    <w:rsid w:val="00324A14"/>
    <w:rsid w:val="00324CD4"/>
    <w:rsid w:val="00331262"/>
    <w:rsid w:val="003324C6"/>
    <w:rsid w:val="00333B58"/>
    <w:rsid w:val="00344618"/>
    <w:rsid w:val="00351CEB"/>
    <w:rsid w:val="0035741E"/>
    <w:rsid w:val="00360DF8"/>
    <w:rsid w:val="00363AEA"/>
    <w:rsid w:val="003654B5"/>
    <w:rsid w:val="003670C2"/>
    <w:rsid w:val="003679BB"/>
    <w:rsid w:val="003706BF"/>
    <w:rsid w:val="00376EF6"/>
    <w:rsid w:val="003771C4"/>
    <w:rsid w:val="00380128"/>
    <w:rsid w:val="003801D5"/>
    <w:rsid w:val="0038121B"/>
    <w:rsid w:val="00385B6B"/>
    <w:rsid w:val="00386319"/>
    <w:rsid w:val="00386EE2"/>
    <w:rsid w:val="0038715A"/>
    <w:rsid w:val="00391285"/>
    <w:rsid w:val="00392818"/>
    <w:rsid w:val="0039331B"/>
    <w:rsid w:val="003940FA"/>
    <w:rsid w:val="003A0990"/>
    <w:rsid w:val="003A35F0"/>
    <w:rsid w:val="003A4AA2"/>
    <w:rsid w:val="003A555A"/>
    <w:rsid w:val="003A5A93"/>
    <w:rsid w:val="003A6981"/>
    <w:rsid w:val="003A6A69"/>
    <w:rsid w:val="003B0408"/>
    <w:rsid w:val="003B0B2D"/>
    <w:rsid w:val="003B16BC"/>
    <w:rsid w:val="003B5AA3"/>
    <w:rsid w:val="003B6D1D"/>
    <w:rsid w:val="003C52A2"/>
    <w:rsid w:val="003C6CE1"/>
    <w:rsid w:val="003C7280"/>
    <w:rsid w:val="003D35CC"/>
    <w:rsid w:val="003D515F"/>
    <w:rsid w:val="003D78E9"/>
    <w:rsid w:val="003E0E8F"/>
    <w:rsid w:val="003E2C21"/>
    <w:rsid w:val="003E3564"/>
    <w:rsid w:val="003E4C2F"/>
    <w:rsid w:val="003F0EC1"/>
    <w:rsid w:val="003F1692"/>
    <w:rsid w:val="003F6909"/>
    <w:rsid w:val="003F69D6"/>
    <w:rsid w:val="003F762F"/>
    <w:rsid w:val="00402878"/>
    <w:rsid w:val="00402995"/>
    <w:rsid w:val="0040390E"/>
    <w:rsid w:val="00404E9A"/>
    <w:rsid w:val="00406975"/>
    <w:rsid w:val="00407133"/>
    <w:rsid w:val="004079D2"/>
    <w:rsid w:val="0041080B"/>
    <w:rsid w:val="00413EB3"/>
    <w:rsid w:val="00416E00"/>
    <w:rsid w:val="00417C0F"/>
    <w:rsid w:val="00422738"/>
    <w:rsid w:val="00422EEA"/>
    <w:rsid w:val="00425158"/>
    <w:rsid w:val="004252E8"/>
    <w:rsid w:val="0042772F"/>
    <w:rsid w:val="00427CBE"/>
    <w:rsid w:val="00433DD6"/>
    <w:rsid w:val="00435DD4"/>
    <w:rsid w:val="0043642B"/>
    <w:rsid w:val="0044102A"/>
    <w:rsid w:val="00441B66"/>
    <w:rsid w:val="00442A1E"/>
    <w:rsid w:val="0044521C"/>
    <w:rsid w:val="00446F9E"/>
    <w:rsid w:val="004503CA"/>
    <w:rsid w:val="004507F6"/>
    <w:rsid w:val="004546DE"/>
    <w:rsid w:val="0045794E"/>
    <w:rsid w:val="004619DC"/>
    <w:rsid w:val="00462EEA"/>
    <w:rsid w:val="004652D9"/>
    <w:rsid w:val="004662F1"/>
    <w:rsid w:val="0046639C"/>
    <w:rsid w:val="00470286"/>
    <w:rsid w:val="00471B7A"/>
    <w:rsid w:val="00473165"/>
    <w:rsid w:val="0047468E"/>
    <w:rsid w:val="00476E9F"/>
    <w:rsid w:val="00477757"/>
    <w:rsid w:val="0048136B"/>
    <w:rsid w:val="00482106"/>
    <w:rsid w:val="00486CBC"/>
    <w:rsid w:val="00487555"/>
    <w:rsid w:val="004915EC"/>
    <w:rsid w:val="0049175D"/>
    <w:rsid w:val="0049406D"/>
    <w:rsid w:val="00494AC3"/>
    <w:rsid w:val="00495E2C"/>
    <w:rsid w:val="0049740B"/>
    <w:rsid w:val="00497C97"/>
    <w:rsid w:val="004A0538"/>
    <w:rsid w:val="004A0BBE"/>
    <w:rsid w:val="004A188F"/>
    <w:rsid w:val="004A1E9F"/>
    <w:rsid w:val="004A1F1C"/>
    <w:rsid w:val="004A38A8"/>
    <w:rsid w:val="004A6180"/>
    <w:rsid w:val="004B0659"/>
    <w:rsid w:val="004B0A38"/>
    <w:rsid w:val="004B16C6"/>
    <w:rsid w:val="004B35C5"/>
    <w:rsid w:val="004B4014"/>
    <w:rsid w:val="004B5D72"/>
    <w:rsid w:val="004B72BC"/>
    <w:rsid w:val="004C037F"/>
    <w:rsid w:val="004C1826"/>
    <w:rsid w:val="004C2587"/>
    <w:rsid w:val="004C5045"/>
    <w:rsid w:val="004C6762"/>
    <w:rsid w:val="004C7D65"/>
    <w:rsid w:val="004D03A2"/>
    <w:rsid w:val="004D12E0"/>
    <w:rsid w:val="004D2F20"/>
    <w:rsid w:val="004E3484"/>
    <w:rsid w:val="004F086F"/>
    <w:rsid w:val="004F1F4A"/>
    <w:rsid w:val="004F4026"/>
    <w:rsid w:val="004F40D2"/>
    <w:rsid w:val="004F5352"/>
    <w:rsid w:val="004F5C17"/>
    <w:rsid w:val="00500F73"/>
    <w:rsid w:val="00502EDB"/>
    <w:rsid w:val="00503A84"/>
    <w:rsid w:val="00506FA8"/>
    <w:rsid w:val="0051091C"/>
    <w:rsid w:val="00512350"/>
    <w:rsid w:val="00512FE3"/>
    <w:rsid w:val="00513ED7"/>
    <w:rsid w:val="00514186"/>
    <w:rsid w:val="00524C52"/>
    <w:rsid w:val="00525922"/>
    <w:rsid w:val="0052709E"/>
    <w:rsid w:val="00530E11"/>
    <w:rsid w:val="0053105C"/>
    <w:rsid w:val="00533860"/>
    <w:rsid w:val="00536816"/>
    <w:rsid w:val="00537B37"/>
    <w:rsid w:val="005409A4"/>
    <w:rsid w:val="00541CB9"/>
    <w:rsid w:val="00542AF3"/>
    <w:rsid w:val="00545371"/>
    <w:rsid w:val="00545564"/>
    <w:rsid w:val="00546563"/>
    <w:rsid w:val="005474A1"/>
    <w:rsid w:val="00550441"/>
    <w:rsid w:val="00551175"/>
    <w:rsid w:val="00551E54"/>
    <w:rsid w:val="005536E0"/>
    <w:rsid w:val="00554B5E"/>
    <w:rsid w:val="00561778"/>
    <w:rsid w:val="00564497"/>
    <w:rsid w:val="005649AB"/>
    <w:rsid w:val="00566F9E"/>
    <w:rsid w:val="00571B85"/>
    <w:rsid w:val="005744B2"/>
    <w:rsid w:val="005750F1"/>
    <w:rsid w:val="005754E7"/>
    <w:rsid w:val="005756BF"/>
    <w:rsid w:val="00576287"/>
    <w:rsid w:val="0058155E"/>
    <w:rsid w:val="005821A4"/>
    <w:rsid w:val="005825BB"/>
    <w:rsid w:val="0058399B"/>
    <w:rsid w:val="00584488"/>
    <w:rsid w:val="005863D0"/>
    <w:rsid w:val="005863E7"/>
    <w:rsid w:val="00587E56"/>
    <w:rsid w:val="00593445"/>
    <w:rsid w:val="00594423"/>
    <w:rsid w:val="00594EA4"/>
    <w:rsid w:val="00596054"/>
    <w:rsid w:val="00597655"/>
    <w:rsid w:val="005A0573"/>
    <w:rsid w:val="005A07D4"/>
    <w:rsid w:val="005A1747"/>
    <w:rsid w:val="005A4B2E"/>
    <w:rsid w:val="005A4E3E"/>
    <w:rsid w:val="005A5CE6"/>
    <w:rsid w:val="005A64AF"/>
    <w:rsid w:val="005B0275"/>
    <w:rsid w:val="005B3749"/>
    <w:rsid w:val="005B3784"/>
    <w:rsid w:val="005B3C43"/>
    <w:rsid w:val="005B5EC5"/>
    <w:rsid w:val="005C05B0"/>
    <w:rsid w:val="005C2EF9"/>
    <w:rsid w:val="005C4E43"/>
    <w:rsid w:val="005C6219"/>
    <w:rsid w:val="005C6783"/>
    <w:rsid w:val="005C77A0"/>
    <w:rsid w:val="005C77AA"/>
    <w:rsid w:val="005D03AD"/>
    <w:rsid w:val="005D03FD"/>
    <w:rsid w:val="005D14AE"/>
    <w:rsid w:val="005D448C"/>
    <w:rsid w:val="005D63DD"/>
    <w:rsid w:val="005D63E2"/>
    <w:rsid w:val="005E24CD"/>
    <w:rsid w:val="005E270C"/>
    <w:rsid w:val="005E2F2B"/>
    <w:rsid w:val="005F0749"/>
    <w:rsid w:val="005F124D"/>
    <w:rsid w:val="005F77E4"/>
    <w:rsid w:val="006018AE"/>
    <w:rsid w:val="006026D3"/>
    <w:rsid w:val="00604547"/>
    <w:rsid w:val="006062E8"/>
    <w:rsid w:val="00606CEC"/>
    <w:rsid w:val="006121B6"/>
    <w:rsid w:val="006163F9"/>
    <w:rsid w:val="00616538"/>
    <w:rsid w:val="006200B0"/>
    <w:rsid w:val="00620CC8"/>
    <w:rsid w:val="00621228"/>
    <w:rsid w:val="00622D0F"/>
    <w:rsid w:val="00624C14"/>
    <w:rsid w:val="00625D0B"/>
    <w:rsid w:val="0062691A"/>
    <w:rsid w:val="00632B64"/>
    <w:rsid w:val="0063374C"/>
    <w:rsid w:val="00634495"/>
    <w:rsid w:val="00634BFA"/>
    <w:rsid w:val="00640F4B"/>
    <w:rsid w:val="00642C3C"/>
    <w:rsid w:val="006464C7"/>
    <w:rsid w:val="00646FC2"/>
    <w:rsid w:val="006475B1"/>
    <w:rsid w:val="006531DF"/>
    <w:rsid w:val="0065435C"/>
    <w:rsid w:val="0065789E"/>
    <w:rsid w:val="00657DAE"/>
    <w:rsid w:val="00660C49"/>
    <w:rsid w:val="006617A9"/>
    <w:rsid w:val="006634C8"/>
    <w:rsid w:val="00667009"/>
    <w:rsid w:val="006704C9"/>
    <w:rsid w:val="00670A40"/>
    <w:rsid w:val="00671D14"/>
    <w:rsid w:val="00672F5B"/>
    <w:rsid w:val="00673B1B"/>
    <w:rsid w:val="0067485C"/>
    <w:rsid w:val="006773C2"/>
    <w:rsid w:val="00681241"/>
    <w:rsid w:val="0068295E"/>
    <w:rsid w:val="00687462"/>
    <w:rsid w:val="006879AA"/>
    <w:rsid w:val="00691480"/>
    <w:rsid w:val="006941AF"/>
    <w:rsid w:val="00694672"/>
    <w:rsid w:val="00694AB5"/>
    <w:rsid w:val="0069517C"/>
    <w:rsid w:val="00696866"/>
    <w:rsid w:val="00696A84"/>
    <w:rsid w:val="006A06D5"/>
    <w:rsid w:val="006B2000"/>
    <w:rsid w:val="006B3162"/>
    <w:rsid w:val="006B61F8"/>
    <w:rsid w:val="006B7159"/>
    <w:rsid w:val="006B72A0"/>
    <w:rsid w:val="006C0BBA"/>
    <w:rsid w:val="006C26FD"/>
    <w:rsid w:val="006C367E"/>
    <w:rsid w:val="006D032B"/>
    <w:rsid w:val="006D0F03"/>
    <w:rsid w:val="006D256F"/>
    <w:rsid w:val="006D2C2F"/>
    <w:rsid w:val="006D3EC2"/>
    <w:rsid w:val="006D63CA"/>
    <w:rsid w:val="006D724C"/>
    <w:rsid w:val="006E1F20"/>
    <w:rsid w:val="006E32EA"/>
    <w:rsid w:val="006E4182"/>
    <w:rsid w:val="006E482A"/>
    <w:rsid w:val="006E5D67"/>
    <w:rsid w:val="006E6B9A"/>
    <w:rsid w:val="006E6C62"/>
    <w:rsid w:val="006E7B8F"/>
    <w:rsid w:val="006F1233"/>
    <w:rsid w:val="006F476B"/>
    <w:rsid w:val="006F51C7"/>
    <w:rsid w:val="006F637B"/>
    <w:rsid w:val="0070044F"/>
    <w:rsid w:val="00704134"/>
    <w:rsid w:val="00704895"/>
    <w:rsid w:val="00706ADA"/>
    <w:rsid w:val="007070F7"/>
    <w:rsid w:val="00707767"/>
    <w:rsid w:val="00711194"/>
    <w:rsid w:val="0071164A"/>
    <w:rsid w:val="00711D78"/>
    <w:rsid w:val="007124E9"/>
    <w:rsid w:val="007164BC"/>
    <w:rsid w:val="00720361"/>
    <w:rsid w:val="0072160C"/>
    <w:rsid w:val="00721B4F"/>
    <w:rsid w:val="00721C57"/>
    <w:rsid w:val="0072420D"/>
    <w:rsid w:val="00724B78"/>
    <w:rsid w:val="00726C0B"/>
    <w:rsid w:val="0073478C"/>
    <w:rsid w:val="00734C65"/>
    <w:rsid w:val="00736533"/>
    <w:rsid w:val="007366F3"/>
    <w:rsid w:val="00740AAD"/>
    <w:rsid w:val="0074170C"/>
    <w:rsid w:val="0074265E"/>
    <w:rsid w:val="007468D3"/>
    <w:rsid w:val="00750AE3"/>
    <w:rsid w:val="00750C8E"/>
    <w:rsid w:val="00753B25"/>
    <w:rsid w:val="00755407"/>
    <w:rsid w:val="00755E30"/>
    <w:rsid w:val="00761031"/>
    <w:rsid w:val="0076120B"/>
    <w:rsid w:val="007642EA"/>
    <w:rsid w:val="00764FFF"/>
    <w:rsid w:val="0076608E"/>
    <w:rsid w:val="00770194"/>
    <w:rsid w:val="00770BA3"/>
    <w:rsid w:val="00770F28"/>
    <w:rsid w:val="0077138C"/>
    <w:rsid w:val="00771449"/>
    <w:rsid w:val="007725CE"/>
    <w:rsid w:val="00774A23"/>
    <w:rsid w:val="00777036"/>
    <w:rsid w:val="00780C8B"/>
    <w:rsid w:val="00781F55"/>
    <w:rsid w:val="00783998"/>
    <w:rsid w:val="00786C5D"/>
    <w:rsid w:val="007908CE"/>
    <w:rsid w:val="0079268F"/>
    <w:rsid w:val="007926D0"/>
    <w:rsid w:val="0079355D"/>
    <w:rsid w:val="007937CC"/>
    <w:rsid w:val="00794E1A"/>
    <w:rsid w:val="00796FF8"/>
    <w:rsid w:val="00797655"/>
    <w:rsid w:val="00797755"/>
    <w:rsid w:val="007A0BFE"/>
    <w:rsid w:val="007A0ED3"/>
    <w:rsid w:val="007A2EF2"/>
    <w:rsid w:val="007A3102"/>
    <w:rsid w:val="007A439A"/>
    <w:rsid w:val="007A4B2C"/>
    <w:rsid w:val="007A522F"/>
    <w:rsid w:val="007B2BFD"/>
    <w:rsid w:val="007B53C7"/>
    <w:rsid w:val="007B5CEF"/>
    <w:rsid w:val="007C0DE5"/>
    <w:rsid w:val="007C1003"/>
    <w:rsid w:val="007C31CB"/>
    <w:rsid w:val="007C3FB8"/>
    <w:rsid w:val="007D15E3"/>
    <w:rsid w:val="007D2132"/>
    <w:rsid w:val="007D4D38"/>
    <w:rsid w:val="007D5FDC"/>
    <w:rsid w:val="007D6907"/>
    <w:rsid w:val="007D78E5"/>
    <w:rsid w:val="007E1942"/>
    <w:rsid w:val="007E2837"/>
    <w:rsid w:val="007E41DB"/>
    <w:rsid w:val="007E5022"/>
    <w:rsid w:val="007E5060"/>
    <w:rsid w:val="007E5C22"/>
    <w:rsid w:val="007F1788"/>
    <w:rsid w:val="007F3BE2"/>
    <w:rsid w:val="007F44BD"/>
    <w:rsid w:val="007F75CA"/>
    <w:rsid w:val="0080017E"/>
    <w:rsid w:val="00806ED9"/>
    <w:rsid w:val="008104DD"/>
    <w:rsid w:val="0081115E"/>
    <w:rsid w:val="00812ED9"/>
    <w:rsid w:val="00814FAF"/>
    <w:rsid w:val="00815742"/>
    <w:rsid w:val="008161A5"/>
    <w:rsid w:val="00824957"/>
    <w:rsid w:val="00826ECE"/>
    <w:rsid w:val="008343AE"/>
    <w:rsid w:val="00836314"/>
    <w:rsid w:val="00842DFE"/>
    <w:rsid w:val="00844B69"/>
    <w:rsid w:val="008454A5"/>
    <w:rsid w:val="00847F9B"/>
    <w:rsid w:val="00850626"/>
    <w:rsid w:val="008524C9"/>
    <w:rsid w:val="008530BB"/>
    <w:rsid w:val="00853765"/>
    <w:rsid w:val="008559D4"/>
    <w:rsid w:val="00856DAA"/>
    <w:rsid w:val="00857240"/>
    <w:rsid w:val="00861656"/>
    <w:rsid w:val="00861C43"/>
    <w:rsid w:val="008702E8"/>
    <w:rsid w:val="00870E49"/>
    <w:rsid w:val="00871FF8"/>
    <w:rsid w:val="00873FF2"/>
    <w:rsid w:val="00874367"/>
    <w:rsid w:val="0088035D"/>
    <w:rsid w:val="00881AB2"/>
    <w:rsid w:val="00882F68"/>
    <w:rsid w:val="00883A1F"/>
    <w:rsid w:val="00890D4C"/>
    <w:rsid w:val="008932FD"/>
    <w:rsid w:val="00893D18"/>
    <w:rsid w:val="008962FE"/>
    <w:rsid w:val="008965C6"/>
    <w:rsid w:val="008A04F1"/>
    <w:rsid w:val="008A04F8"/>
    <w:rsid w:val="008A0AC6"/>
    <w:rsid w:val="008A14C0"/>
    <w:rsid w:val="008A183B"/>
    <w:rsid w:val="008A2FFB"/>
    <w:rsid w:val="008A37B2"/>
    <w:rsid w:val="008A6104"/>
    <w:rsid w:val="008A6861"/>
    <w:rsid w:val="008B4450"/>
    <w:rsid w:val="008B5094"/>
    <w:rsid w:val="008B50F9"/>
    <w:rsid w:val="008B6C41"/>
    <w:rsid w:val="008B6DE2"/>
    <w:rsid w:val="008C018E"/>
    <w:rsid w:val="008C218C"/>
    <w:rsid w:val="008C51A0"/>
    <w:rsid w:val="008C5C5F"/>
    <w:rsid w:val="008C6423"/>
    <w:rsid w:val="008C6F53"/>
    <w:rsid w:val="008D0BA4"/>
    <w:rsid w:val="008D5287"/>
    <w:rsid w:val="008D69E6"/>
    <w:rsid w:val="008E029A"/>
    <w:rsid w:val="008E1EDC"/>
    <w:rsid w:val="008E58F4"/>
    <w:rsid w:val="008E5A43"/>
    <w:rsid w:val="008E7994"/>
    <w:rsid w:val="008F0048"/>
    <w:rsid w:val="008F06E0"/>
    <w:rsid w:val="008F085B"/>
    <w:rsid w:val="008F68B8"/>
    <w:rsid w:val="00900971"/>
    <w:rsid w:val="00900F24"/>
    <w:rsid w:val="00902DD9"/>
    <w:rsid w:val="00903205"/>
    <w:rsid w:val="009074FF"/>
    <w:rsid w:val="00907800"/>
    <w:rsid w:val="009120E9"/>
    <w:rsid w:val="00913B47"/>
    <w:rsid w:val="00916905"/>
    <w:rsid w:val="00916F36"/>
    <w:rsid w:val="00925AD1"/>
    <w:rsid w:val="00927A00"/>
    <w:rsid w:val="00927FF8"/>
    <w:rsid w:val="00931435"/>
    <w:rsid w:val="0093252F"/>
    <w:rsid w:val="009329AF"/>
    <w:rsid w:val="0093581C"/>
    <w:rsid w:val="00935DDC"/>
    <w:rsid w:val="0093678D"/>
    <w:rsid w:val="0093715F"/>
    <w:rsid w:val="00943B93"/>
    <w:rsid w:val="009442BC"/>
    <w:rsid w:val="009469E6"/>
    <w:rsid w:val="0094738F"/>
    <w:rsid w:val="0094742A"/>
    <w:rsid w:val="009475B9"/>
    <w:rsid w:val="009513DC"/>
    <w:rsid w:val="00952689"/>
    <w:rsid w:val="00952B0D"/>
    <w:rsid w:val="009546B5"/>
    <w:rsid w:val="009553AC"/>
    <w:rsid w:val="00956A1A"/>
    <w:rsid w:val="009575D4"/>
    <w:rsid w:val="009607D8"/>
    <w:rsid w:val="00961033"/>
    <w:rsid w:val="009611DF"/>
    <w:rsid w:val="0096391B"/>
    <w:rsid w:val="00967F7F"/>
    <w:rsid w:val="00970E07"/>
    <w:rsid w:val="00971672"/>
    <w:rsid w:val="0097260D"/>
    <w:rsid w:val="00974B6F"/>
    <w:rsid w:val="00974E04"/>
    <w:rsid w:val="00975528"/>
    <w:rsid w:val="009758A9"/>
    <w:rsid w:val="00976573"/>
    <w:rsid w:val="009765D6"/>
    <w:rsid w:val="0097700F"/>
    <w:rsid w:val="00977805"/>
    <w:rsid w:val="0098209B"/>
    <w:rsid w:val="00993A88"/>
    <w:rsid w:val="00994DAB"/>
    <w:rsid w:val="00995513"/>
    <w:rsid w:val="00995599"/>
    <w:rsid w:val="009957AF"/>
    <w:rsid w:val="00997FDD"/>
    <w:rsid w:val="009A2B0C"/>
    <w:rsid w:val="009A3700"/>
    <w:rsid w:val="009A3DC3"/>
    <w:rsid w:val="009A43D9"/>
    <w:rsid w:val="009A55B9"/>
    <w:rsid w:val="009A573E"/>
    <w:rsid w:val="009A60B9"/>
    <w:rsid w:val="009A7A58"/>
    <w:rsid w:val="009B00C4"/>
    <w:rsid w:val="009B1B8C"/>
    <w:rsid w:val="009B2A20"/>
    <w:rsid w:val="009B3750"/>
    <w:rsid w:val="009C1E55"/>
    <w:rsid w:val="009C2D41"/>
    <w:rsid w:val="009C3FF5"/>
    <w:rsid w:val="009C429A"/>
    <w:rsid w:val="009C7D36"/>
    <w:rsid w:val="009D049D"/>
    <w:rsid w:val="009D0F00"/>
    <w:rsid w:val="009D24AA"/>
    <w:rsid w:val="009D250E"/>
    <w:rsid w:val="009D3408"/>
    <w:rsid w:val="009D4250"/>
    <w:rsid w:val="009D708E"/>
    <w:rsid w:val="009D7CB4"/>
    <w:rsid w:val="009E0806"/>
    <w:rsid w:val="009E1E6F"/>
    <w:rsid w:val="009E6E38"/>
    <w:rsid w:val="009F24C0"/>
    <w:rsid w:val="009F2689"/>
    <w:rsid w:val="009F2F44"/>
    <w:rsid w:val="009F3B6F"/>
    <w:rsid w:val="009F4994"/>
    <w:rsid w:val="009F63C8"/>
    <w:rsid w:val="009F6A52"/>
    <w:rsid w:val="009F7A88"/>
    <w:rsid w:val="00A0001F"/>
    <w:rsid w:val="00A01D45"/>
    <w:rsid w:val="00A0306A"/>
    <w:rsid w:val="00A03370"/>
    <w:rsid w:val="00A0464A"/>
    <w:rsid w:val="00A05E78"/>
    <w:rsid w:val="00A06A87"/>
    <w:rsid w:val="00A07560"/>
    <w:rsid w:val="00A100A1"/>
    <w:rsid w:val="00A10D66"/>
    <w:rsid w:val="00A11E67"/>
    <w:rsid w:val="00A149D1"/>
    <w:rsid w:val="00A16281"/>
    <w:rsid w:val="00A1794A"/>
    <w:rsid w:val="00A20D18"/>
    <w:rsid w:val="00A23A55"/>
    <w:rsid w:val="00A25494"/>
    <w:rsid w:val="00A26362"/>
    <w:rsid w:val="00A323AA"/>
    <w:rsid w:val="00A3279A"/>
    <w:rsid w:val="00A32A6A"/>
    <w:rsid w:val="00A332C9"/>
    <w:rsid w:val="00A34928"/>
    <w:rsid w:val="00A372EF"/>
    <w:rsid w:val="00A40A81"/>
    <w:rsid w:val="00A40EDA"/>
    <w:rsid w:val="00A410D9"/>
    <w:rsid w:val="00A43095"/>
    <w:rsid w:val="00A44C81"/>
    <w:rsid w:val="00A459EF"/>
    <w:rsid w:val="00A463A2"/>
    <w:rsid w:val="00A46E79"/>
    <w:rsid w:val="00A51AEC"/>
    <w:rsid w:val="00A527D1"/>
    <w:rsid w:val="00A52C0E"/>
    <w:rsid w:val="00A53586"/>
    <w:rsid w:val="00A54037"/>
    <w:rsid w:val="00A54C97"/>
    <w:rsid w:val="00A55912"/>
    <w:rsid w:val="00A56987"/>
    <w:rsid w:val="00A573CE"/>
    <w:rsid w:val="00A62D12"/>
    <w:rsid w:val="00A6368B"/>
    <w:rsid w:val="00A651B7"/>
    <w:rsid w:val="00A67035"/>
    <w:rsid w:val="00A67D59"/>
    <w:rsid w:val="00A70EE3"/>
    <w:rsid w:val="00A70F80"/>
    <w:rsid w:val="00A71632"/>
    <w:rsid w:val="00A721C2"/>
    <w:rsid w:val="00A75410"/>
    <w:rsid w:val="00A83C5F"/>
    <w:rsid w:val="00A83C9A"/>
    <w:rsid w:val="00A85580"/>
    <w:rsid w:val="00A86B6D"/>
    <w:rsid w:val="00A92429"/>
    <w:rsid w:val="00A95105"/>
    <w:rsid w:val="00A96002"/>
    <w:rsid w:val="00A96B42"/>
    <w:rsid w:val="00A977EE"/>
    <w:rsid w:val="00A97D4D"/>
    <w:rsid w:val="00AA082D"/>
    <w:rsid w:val="00AA09E0"/>
    <w:rsid w:val="00AA0DD3"/>
    <w:rsid w:val="00AA2B75"/>
    <w:rsid w:val="00AA2CAD"/>
    <w:rsid w:val="00AA4C5C"/>
    <w:rsid w:val="00AA6B1A"/>
    <w:rsid w:val="00AA6DBF"/>
    <w:rsid w:val="00AB0645"/>
    <w:rsid w:val="00AB0B53"/>
    <w:rsid w:val="00AB2B16"/>
    <w:rsid w:val="00AB3306"/>
    <w:rsid w:val="00AB381C"/>
    <w:rsid w:val="00AB4E95"/>
    <w:rsid w:val="00AB579C"/>
    <w:rsid w:val="00AB6641"/>
    <w:rsid w:val="00AC0758"/>
    <w:rsid w:val="00AC08A7"/>
    <w:rsid w:val="00AC4B99"/>
    <w:rsid w:val="00AC5141"/>
    <w:rsid w:val="00AC5BED"/>
    <w:rsid w:val="00AC6D2D"/>
    <w:rsid w:val="00AD00AE"/>
    <w:rsid w:val="00AD03A4"/>
    <w:rsid w:val="00AD19D2"/>
    <w:rsid w:val="00AD31FB"/>
    <w:rsid w:val="00AD3B47"/>
    <w:rsid w:val="00AD3E08"/>
    <w:rsid w:val="00AD5B6C"/>
    <w:rsid w:val="00AD7F72"/>
    <w:rsid w:val="00AE0A66"/>
    <w:rsid w:val="00AE2A17"/>
    <w:rsid w:val="00AE40CB"/>
    <w:rsid w:val="00AE534A"/>
    <w:rsid w:val="00AE53B1"/>
    <w:rsid w:val="00AE606D"/>
    <w:rsid w:val="00AE620F"/>
    <w:rsid w:val="00AE6B2A"/>
    <w:rsid w:val="00AE6B34"/>
    <w:rsid w:val="00AF4200"/>
    <w:rsid w:val="00AF5A41"/>
    <w:rsid w:val="00AF6F5A"/>
    <w:rsid w:val="00B00CF5"/>
    <w:rsid w:val="00B013E7"/>
    <w:rsid w:val="00B04834"/>
    <w:rsid w:val="00B068D8"/>
    <w:rsid w:val="00B07FEA"/>
    <w:rsid w:val="00B102A6"/>
    <w:rsid w:val="00B116E9"/>
    <w:rsid w:val="00B11C6B"/>
    <w:rsid w:val="00B12D3F"/>
    <w:rsid w:val="00B1731A"/>
    <w:rsid w:val="00B21748"/>
    <w:rsid w:val="00B22715"/>
    <w:rsid w:val="00B22800"/>
    <w:rsid w:val="00B232B0"/>
    <w:rsid w:val="00B238D5"/>
    <w:rsid w:val="00B23A57"/>
    <w:rsid w:val="00B24F9E"/>
    <w:rsid w:val="00B26B46"/>
    <w:rsid w:val="00B27194"/>
    <w:rsid w:val="00B30633"/>
    <w:rsid w:val="00B31232"/>
    <w:rsid w:val="00B33A9B"/>
    <w:rsid w:val="00B37B19"/>
    <w:rsid w:val="00B37B58"/>
    <w:rsid w:val="00B400AA"/>
    <w:rsid w:val="00B411E9"/>
    <w:rsid w:val="00B420C3"/>
    <w:rsid w:val="00B47EE7"/>
    <w:rsid w:val="00B505BC"/>
    <w:rsid w:val="00B51D9C"/>
    <w:rsid w:val="00B54EF6"/>
    <w:rsid w:val="00B5505A"/>
    <w:rsid w:val="00B551CD"/>
    <w:rsid w:val="00B55B5B"/>
    <w:rsid w:val="00B56D6D"/>
    <w:rsid w:val="00B56F64"/>
    <w:rsid w:val="00B56FEB"/>
    <w:rsid w:val="00B571A7"/>
    <w:rsid w:val="00B60F12"/>
    <w:rsid w:val="00B61485"/>
    <w:rsid w:val="00B673B8"/>
    <w:rsid w:val="00B6740D"/>
    <w:rsid w:val="00B70C4A"/>
    <w:rsid w:val="00B71173"/>
    <w:rsid w:val="00B71C52"/>
    <w:rsid w:val="00B723C3"/>
    <w:rsid w:val="00B76B6E"/>
    <w:rsid w:val="00B837F8"/>
    <w:rsid w:val="00B91CD7"/>
    <w:rsid w:val="00B946B4"/>
    <w:rsid w:val="00B952A5"/>
    <w:rsid w:val="00B952CD"/>
    <w:rsid w:val="00B953D5"/>
    <w:rsid w:val="00B95402"/>
    <w:rsid w:val="00B975A7"/>
    <w:rsid w:val="00B97D6F"/>
    <w:rsid w:val="00BA3ADE"/>
    <w:rsid w:val="00BA57AF"/>
    <w:rsid w:val="00BA65CD"/>
    <w:rsid w:val="00BA79EB"/>
    <w:rsid w:val="00BB1276"/>
    <w:rsid w:val="00BB16E3"/>
    <w:rsid w:val="00BB3291"/>
    <w:rsid w:val="00BB3EF3"/>
    <w:rsid w:val="00BB43E6"/>
    <w:rsid w:val="00BB483A"/>
    <w:rsid w:val="00BC4574"/>
    <w:rsid w:val="00BC4906"/>
    <w:rsid w:val="00BC4D8F"/>
    <w:rsid w:val="00BC4DDA"/>
    <w:rsid w:val="00BC6234"/>
    <w:rsid w:val="00BC6259"/>
    <w:rsid w:val="00BC676C"/>
    <w:rsid w:val="00BC681F"/>
    <w:rsid w:val="00BC731F"/>
    <w:rsid w:val="00BD104A"/>
    <w:rsid w:val="00BD3027"/>
    <w:rsid w:val="00BD3D41"/>
    <w:rsid w:val="00BD5458"/>
    <w:rsid w:val="00BD67DC"/>
    <w:rsid w:val="00BE0151"/>
    <w:rsid w:val="00BE1B3F"/>
    <w:rsid w:val="00BE1D3D"/>
    <w:rsid w:val="00BE30BB"/>
    <w:rsid w:val="00BE4EFE"/>
    <w:rsid w:val="00BE5D62"/>
    <w:rsid w:val="00BE5F36"/>
    <w:rsid w:val="00BE796A"/>
    <w:rsid w:val="00BF01CB"/>
    <w:rsid w:val="00BF30FE"/>
    <w:rsid w:val="00BF3DB6"/>
    <w:rsid w:val="00BF70B9"/>
    <w:rsid w:val="00C00BC6"/>
    <w:rsid w:val="00C026A3"/>
    <w:rsid w:val="00C03855"/>
    <w:rsid w:val="00C03EFE"/>
    <w:rsid w:val="00C054F7"/>
    <w:rsid w:val="00C0670A"/>
    <w:rsid w:val="00C07365"/>
    <w:rsid w:val="00C12E73"/>
    <w:rsid w:val="00C16839"/>
    <w:rsid w:val="00C17241"/>
    <w:rsid w:val="00C175B3"/>
    <w:rsid w:val="00C177B1"/>
    <w:rsid w:val="00C17BC6"/>
    <w:rsid w:val="00C215A0"/>
    <w:rsid w:val="00C22F2E"/>
    <w:rsid w:val="00C24CCC"/>
    <w:rsid w:val="00C25700"/>
    <w:rsid w:val="00C26F7F"/>
    <w:rsid w:val="00C277F6"/>
    <w:rsid w:val="00C32521"/>
    <w:rsid w:val="00C355D1"/>
    <w:rsid w:val="00C40820"/>
    <w:rsid w:val="00C427F4"/>
    <w:rsid w:val="00C4402C"/>
    <w:rsid w:val="00C450C7"/>
    <w:rsid w:val="00C451B9"/>
    <w:rsid w:val="00C5385C"/>
    <w:rsid w:val="00C53EBD"/>
    <w:rsid w:val="00C54F72"/>
    <w:rsid w:val="00C55842"/>
    <w:rsid w:val="00C56BB0"/>
    <w:rsid w:val="00C579AC"/>
    <w:rsid w:val="00C57B3A"/>
    <w:rsid w:val="00C60742"/>
    <w:rsid w:val="00C60A8B"/>
    <w:rsid w:val="00C62B51"/>
    <w:rsid w:val="00C6379F"/>
    <w:rsid w:val="00C64D6C"/>
    <w:rsid w:val="00C65367"/>
    <w:rsid w:val="00C655A5"/>
    <w:rsid w:val="00C66002"/>
    <w:rsid w:val="00C71CF6"/>
    <w:rsid w:val="00C723B3"/>
    <w:rsid w:val="00C73481"/>
    <w:rsid w:val="00C7491C"/>
    <w:rsid w:val="00C757B8"/>
    <w:rsid w:val="00C76845"/>
    <w:rsid w:val="00C76C74"/>
    <w:rsid w:val="00C76E00"/>
    <w:rsid w:val="00C846B2"/>
    <w:rsid w:val="00C870D8"/>
    <w:rsid w:val="00C90ABA"/>
    <w:rsid w:val="00C92163"/>
    <w:rsid w:val="00C9226C"/>
    <w:rsid w:val="00C92593"/>
    <w:rsid w:val="00C94D67"/>
    <w:rsid w:val="00C9519B"/>
    <w:rsid w:val="00C97083"/>
    <w:rsid w:val="00C97B1A"/>
    <w:rsid w:val="00CA15C3"/>
    <w:rsid w:val="00CA1A21"/>
    <w:rsid w:val="00CA3F76"/>
    <w:rsid w:val="00CA46CC"/>
    <w:rsid w:val="00CA6B52"/>
    <w:rsid w:val="00CA72CF"/>
    <w:rsid w:val="00CB192F"/>
    <w:rsid w:val="00CB51EB"/>
    <w:rsid w:val="00CB63FE"/>
    <w:rsid w:val="00CB7A1C"/>
    <w:rsid w:val="00CC4085"/>
    <w:rsid w:val="00CD0C09"/>
    <w:rsid w:val="00CD4645"/>
    <w:rsid w:val="00CE169A"/>
    <w:rsid w:val="00CE2093"/>
    <w:rsid w:val="00CE24F8"/>
    <w:rsid w:val="00CE3715"/>
    <w:rsid w:val="00CE6960"/>
    <w:rsid w:val="00CE6FE4"/>
    <w:rsid w:val="00CF5028"/>
    <w:rsid w:val="00CF613B"/>
    <w:rsid w:val="00D001CE"/>
    <w:rsid w:val="00D10F51"/>
    <w:rsid w:val="00D128DA"/>
    <w:rsid w:val="00D13021"/>
    <w:rsid w:val="00D15708"/>
    <w:rsid w:val="00D1619D"/>
    <w:rsid w:val="00D22602"/>
    <w:rsid w:val="00D24E73"/>
    <w:rsid w:val="00D26061"/>
    <w:rsid w:val="00D26356"/>
    <w:rsid w:val="00D26CAF"/>
    <w:rsid w:val="00D31095"/>
    <w:rsid w:val="00D33B99"/>
    <w:rsid w:val="00D33D28"/>
    <w:rsid w:val="00D33F52"/>
    <w:rsid w:val="00D34101"/>
    <w:rsid w:val="00D3482C"/>
    <w:rsid w:val="00D371F4"/>
    <w:rsid w:val="00D37A39"/>
    <w:rsid w:val="00D40831"/>
    <w:rsid w:val="00D449A8"/>
    <w:rsid w:val="00D452E5"/>
    <w:rsid w:val="00D47729"/>
    <w:rsid w:val="00D47C00"/>
    <w:rsid w:val="00D508DB"/>
    <w:rsid w:val="00D5208D"/>
    <w:rsid w:val="00D52846"/>
    <w:rsid w:val="00D5507D"/>
    <w:rsid w:val="00D57706"/>
    <w:rsid w:val="00D57B0A"/>
    <w:rsid w:val="00D612DE"/>
    <w:rsid w:val="00D63136"/>
    <w:rsid w:val="00D646BB"/>
    <w:rsid w:val="00D64899"/>
    <w:rsid w:val="00D64EAA"/>
    <w:rsid w:val="00D65E96"/>
    <w:rsid w:val="00D677E1"/>
    <w:rsid w:val="00D6794C"/>
    <w:rsid w:val="00D71485"/>
    <w:rsid w:val="00D71B8F"/>
    <w:rsid w:val="00D74D75"/>
    <w:rsid w:val="00D8003B"/>
    <w:rsid w:val="00D804BF"/>
    <w:rsid w:val="00D815FF"/>
    <w:rsid w:val="00D82CAC"/>
    <w:rsid w:val="00D83CF6"/>
    <w:rsid w:val="00D8491D"/>
    <w:rsid w:val="00D8565F"/>
    <w:rsid w:val="00D85805"/>
    <w:rsid w:val="00D90A21"/>
    <w:rsid w:val="00D937B2"/>
    <w:rsid w:val="00D952CF"/>
    <w:rsid w:val="00D95CAF"/>
    <w:rsid w:val="00D95E99"/>
    <w:rsid w:val="00D97147"/>
    <w:rsid w:val="00D9780E"/>
    <w:rsid w:val="00DA0BB6"/>
    <w:rsid w:val="00DA275C"/>
    <w:rsid w:val="00DA6A90"/>
    <w:rsid w:val="00DA72AF"/>
    <w:rsid w:val="00DA79FF"/>
    <w:rsid w:val="00DB1805"/>
    <w:rsid w:val="00DB39FF"/>
    <w:rsid w:val="00DB3BC1"/>
    <w:rsid w:val="00DB4781"/>
    <w:rsid w:val="00DB4967"/>
    <w:rsid w:val="00DB4BCE"/>
    <w:rsid w:val="00DB5FFF"/>
    <w:rsid w:val="00DC3716"/>
    <w:rsid w:val="00DC66E5"/>
    <w:rsid w:val="00DD069D"/>
    <w:rsid w:val="00DD08C3"/>
    <w:rsid w:val="00DD0D68"/>
    <w:rsid w:val="00DD2DA8"/>
    <w:rsid w:val="00DD4389"/>
    <w:rsid w:val="00DD49A9"/>
    <w:rsid w:val="00DD6EC0"/>
    <w:rsid w:val="00DD7FCD"/>
    <w:rsid w:val="00DE40FF"/>
    <w:rsid w:val="00DE5577"/>
    <w:rsid w:val="00DF0164"/>
    <w:rsid w:val="00DF0366"/>
    <w:rsid w:val="00DF0C07"/>
    <w:rsid w:val="00DF0F8B"/>
    <w:rsid w:val="00DF241A"/>
    <w:rsid w:val="00E00A21"/>
    <w:rsid w:val="00E01C42"/>
    <w:rsid w:val="00E02849"/>
    <w:rsid w:val="00E033C8"/>
    <w:rsid w:val="00E03EE6"/>
    <w:rsid w:val="00E04505"/>
    <w:rsid w:val="00E05070"/>
    <w:rsid w:val="00E06230"/>
    <w:rsid w:val="00E06ED4"/>
    <w:rsid w:val="00E073E1"/>
    <w:rsid w:val="00E13269"/>
    <w:rsid w:val="00E13307"/>
    <w:rsid w:val="00E13BEA"/>
    <w:rsid w:val="00E14A55"/>
    <w:rsid w:val="00E20916"/>
    <w:rsid w:val="00E21692"/>
    <w:rsid w:val="00E21CF6"/>
    <w:rsid w:val="00E224AA"/>
    <w:rsid w:val="00E230DF"/>
    <w:rsid w:val="00E24FDF"/>
    <w:rsid w:val="00E27618"/>
    <w:rsid w:val="00E349BA"/>
    <w:rsid w:val="00E42800"/>
    <w:rsid w:val="00E47D8D"/>
    <w:rsid w:val="00E50B70"/>
    <w:rsid w:val="00E52F13"/>
    <w:rsid w:val="00E53952"/>
    <w:rsid w:val="00E542CF"/>
    <w:rsid w:val="00E54558"/>
    <w:rsid w:val="00E55778"/>
    <w:rsid w:val="00E61BCC"/>
    <w:rsid w:val="00E61CCF"/>
    <w:rsid w:val="00E63BBD"/>
    <w:rsid w:val="00E710D5"/>
    <w:rsid w:val="00E73A33"/>
    <w:rsid w:val="00E747D4"/>
    <w:rsid w:val="00E74A61"/>
    <w:rsid w:val="00E7649D"/>
    <w:rsid w:val="00E77A08"/>
    <w:rsid w:val="00E80CD4"/>
    <w:rsid w:val="00E80F1F"/>
    <w:rsid w:val="00E832D6"/>
    <w:rsid w:val="00E833A8"/>
    <w:rsid w:val="00E841F1"/>
    <w:rsid w:val="00E852E3"/>
    <w:rsid w:val="00E8729C"/>
    <w:rsid w:val="00E87884"/>
    <w:rsid w:val="00E87F1C"/>
    <w:rsid w:val="00E91A49"/>
    <w:rsid w:val="00E926F6"/>
    <w:rsid w:val="00E93C1D"/>
    <w:rsid w:val="00E94392"/>
    <w:rsid w:val="00E96041"/>
    <w:rsid w:val="00E977BB"/>
    <w:rsid w:val="00EA10D1"/>
    <w:rsid w:val="00EA208D"/>
    <w:rsid w:val="00EA371D"/>
    <w:rsid w:val="00EA4314"/>
    <w:rsid w:val="00EA57C1"/>
    <w:rsid w:val="00EB00F9"/>
    <w:rsid w:val="00EB0959"/>
    <w:rsid w:val="00EB13DA"/>
    <w:rsid w:val="00EB1480"/>
    <w:rsid w:val="00EB1A2F"/>
    <w:rsid w:val="00EB1D2F"/>
    <w:rsid w:val="00EB3147"/>
    <w:rsid w:val="00EB3384"/>
    <w:rsid w:val="00EB45E0"/>
    <w:rsid w:val="00EB61CB"/>
    <w:rsid w:val="00EB6915"/>
    <w:rsid w:val="00EB7CD5"/>
    <w:rsid w:val="00EB7ED1"/>
    <w:rsid w:val="00EC1808"/>
    <w:rsid w:val="00ED1B8F"/>
    <w:rsid w:val="00ED25A0"/>
    <w:rsid w:val="00ED60DF"/>
    <w:rsid w:val="00ED761A"/>
    <w:rsid w:val="00EE0A1B"/>
    <w:rsid w:val="00EE0DB2"/>
    <w:rsid w:val="00EE67A2"/>
    <w:rsid w:val="00EE7630"/>
    <w:rsid w:val="00EF1810"/>
    <w:rsid w:val="00EF20BB"/>
    <w:rsid w:val="00EF21AB"/>
    <w:rsid w:val="00EF4012"/>
    <w:rsid w:val="00EF4182"/>
    <w:rsid w:val="00EF6D0A"/>
    <w:rsid w:val="00F009E7"/>
    <w:rsid w:val="00F043A0"/>
    <w:rsid w:val="00F076F0"/>
    <w:rsid w:val="00F079DF"/>
    <w:rsid w:val="00F10CD2"/>
    <w:rsid w:val="00F132D9"/>
    <w:rsid w:val="00F17800"/>
    <w:rsid w:val="00F21149"/>
    <w:rsid w:val="00F21EEA"/>
    <w:rsid w:val="00F22C58"/>
    <w:rsid w:val="00F2529E"/>
    <w:rsid w:val="00F275EA"/>
    <w:rsid w:val="00F3123E"/>
    <w:rsid w:val="00F32117"/>
    <w:rsid w:val="00F3311E"/>
    <w:rsid w:val="00F34542"/>
    <w:rsid w:val="00F34C13"/>
    <w:rsid w:val="00F35FB2"/>
    <w:rsid w:val="00F4037A"/>
    <w:rsid w:val="00F41BE4"/>
    <w:rsid w:val="00F45348"/>
    <w:rsid w:val="00F453F8"/>
    <w:rsid w:val="00F50ED8"/>
    <w:rsid w:val="00F515A4"/>
    <w:rsid w:val="00F57E30"/>
    <w:rsid w:val="00F6106C"/>
    <w:rsid w:val="00F653D4"/>
    <w:rsid w:val="00F712EF"/>
    <w:rsid w:val="00F7246E"/>
    <w:rsid w:val="00F72C9D"/>
    <w:rsid w:val="00F72E49"/>
    <w:rsid w:val="00F735DF"/>
    <w:rsid w:val="00F737F8"/>
    <w:rsid w:val="00F743C9"/>
    <w:rsid w:val="00F77E22"/>
    <w:rsid w:val="00F80DB6"/>
    <w:rsid w:val="00F8101D"/>
    <w:rsid w:val="00F82025"/>
    <w:rsid w:val="00F82088"/>
    <w:rsid w:val="00F829CF"/>
    <w:rsid w:val="00F85478"/>
    <w:rsid w:val="00F86C74"/>
    <w:rsid w:val="00F87F32"/>
    <w:rsid w:val="00F91796"/>
    <w:rsid w:val="00F918AE"/>
    <w:rsid w:val="00F935A6"/>
    <w:rsid w:val="00F95E78"/>
    <w:rsid w:val="00F9640A"/>
    <w:rsid w:val="00F9799A"/>
    <w:rsid w:val="00FA10EB"/>
    <w:rsid w:val="00FA1E3F"/>
    <w:rsid w:val="00FA3BD6"/>
    <w:rsid w:val="00FA3CF4"/>
    <w:rsid w:val="00FA6FCF"/>
    <w:rsid w:val="00FB0A8F"/>
    <w:rsid w:val="00FB2790"/>
    <w:rsid w:val="00FB2794"/>
    <w:rsid w:val="00FB30CA"/>
    <w:rsid w:val="00FB4C34"/>
    <w:rsid w:val="00FB5522"/>
    <w:rsid w:val="00FB6697"/>
    <w:rsid w:val="00FC1429"/>
    <w:rsid w:val="00FC4C8B"/>
    <w:rsid w:val="00FC5D3A"/>
    <w:rsid w:val="00FC61AB"/>
    <w:rsid w:val="00FC6447"/>
    <w:rsid w:val="00FC647B"/>
    <w:rsid w:val="00FD0A86"/>
    <w:rsid w:val="00FD0DDE"/>
    <w:rsid w:val="00FD1644"/>
    <w:rsid w:val="00FD237D"/>
    <w:rsid w:val="00FD2AD2"/>
    <w:rsid w:val="00FD4A37"/>
    <w:rsid w:val="00FD580A"/>
    <w:rsid w:val="00FD5A7A"/>
    <w:rsid w:val="00FD6B01"/>
    <w:rsid w:val="00FD7FF3"/>
    <w:rsid w:val="00FE2611"/>
    <w:rsid w:val="00FE3AF8"/>
    <w:rsid w:val="00FE57B8"/>
    <w:rsid w:val="00FE5AEA"/>
    <w:rsid w:val="00FE6A50"/>
    <w:rsid w:val="00FE7EDC"/>
    <w:rsid w:val="00FF0441"/>
    <w:rsid w:val="00FF1A3E"/>
    <w:rsid w:val="00FF5E31"/>
    <w:rsid w:val="16066D57"/>
    <w:rsid w:val="1E750364"/>
    <w:rsid w:val="279502E8"/>
    <w:rsid w:val="33913E06"/>
    <w:rsid w:val="716D76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numPr>
        <w:ilvl w:val="0"/>
        <w:numId w:val="1"/>
      </w:numPr>
      <w:adjustRightInd w:val="0"/>
      <w:spacing w:before="340" w:after="330" w:line="578" w:lineRule="atLeast"/>
      <w:jc w:val="left"/>
      <w:textAlignment w:val="baseline"/>
      <w:outlineLvl w:val="0"/>
    </w:pPr>
    <w:rPr>
      <w:rFonts w:ascii="宋体"/>
      <w:b/>
      <w:kern w:val="44"/>
      <w:sz w:val="44"/>
      <w:szCs w:val="20"/>
    </w:rPr>
  </w:style>
  <w:style w:type="paragraph" w:styleId="3">
    <w:name w:val="heading 2"/>
    <w:basedOn w:val="1"/>
    <w:next w:val="1"/>
    <w:link w:val="22"/>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tcPr>
      <w:textDirection w:val="btLr"/>
    </w:tcPr>
  </w:style>
  <w:style w:type="paragraph" w:styleId="5">
    <w:name w:val="Document Map"/>
    <w:basedOn w:val="1"/>
    <w:link w:val="27"/>
    <w:qFormat/>
    <w:uiPriority w:val="0"/>
    <w:rPr>
      <w:rFonts w:ascii="宋体"/>
      <w:sz w:val="18"/>
      <w:szCs w:val="18"/>
    </w:rPr>
  </w:style>
  <w:style w:type="paragraph" w:styleId="6">
    <w:name w:val="Plain Text"/>
    <w:basedOn w:val="1"/>
    <w:link w:val="29"/>
    <w:qFormat/>
    <w:uiPriority w:val="0"/>
    <w:rPr>
      <w:rFonts w:ascii="宋体" w:hAnsi="Courier New"/>
      <w:szCs w:val="20"/>
    </w:rPr>
  </w:style>
  <w:style w:type="paragraph" w:styleId="7">
    <w:name w:val="Date"/>
    <w:basedOn w:val="1"/>
    <w:next w:val="1"/>
    <w:link w:val="26"/>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iPriority w:val="39"/>
    <w:pPr>
      <w:tabs>
        <w:tab w:val="right" w:leader="dot" w:pos="9344"/>
      </w:tabs>
      <w:spacing w:line="360" w:lineRule="auto"/>
    </w:p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13">
    <w:name w:val="page number"/>
    <w:basedOn w:val="12"/>
    <w:uiPriority w:val="0"/>
  </w:style>
  <w:style w:type="character" w:styleId="14">
    <w:name w:val="Hyperlink"/>
    <w:uiPriority w:val="99"/>
    <w:rPr>
      <w:color w:val="0000FF"/>
      <w:u w:val="single"/>
    </w:rPr>
  </w:style>
  <w:style w:type="table" w:styleId="16">
    <w:name w:val="Table Grid"/>
    <w:basedOn w:val="15"/>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btLr"/>
    </w:tcPr>
  </w:style>
  <w:style w:type="paragraph" w:styleId="17">
    <w:name w:val="List Paragraph"/>
    <w:basedOn w:val="1"/>
    <w:qFormat/>
    <w:uiPriority w:val="34"/>
    <w:pPr>
      <w:widowControl/>
      <w:ind w:firstLine="420" w:firstLineChars="200"/>
      <w:jc w:val="left"/>
    </w:pPr>
    <w:rPr>
      <w:rFonts w:ascii="宋体" w:hAnsi="宋体" w:cs="宋体"/>
      <w:kern w:val="0"/>
      <w:sz w:val="24"/>
    </w:rPr>
  </w:style>
  <w:style w:type="paragraph" w:customStyle="1" w:styleId="18">
    <w:name w:val="样式2"/>
    <w:basedOn w:val="1"/>
    <w:uiPriority w:val="0"/>
    <w:pPr>
      <w:adjustRightInd w:val="0"/>
      <w:spacing w:line="410" w:lineRule="atLeast"/>
      <w:jc w:val="left"/>
    </w:pPr>
    <w:rPr>
      <w:kern w:val="0"/>
      <w:sz w:val="24"/>
      <w:szCs w:val="20"/>
    </w:rPr>
  </w:style>
  <w:style w:type="paragraph" w:customStyle="1" w:styleId="19">
    <w:name w:val="表格中"/>
    <w:basedOn w:val="1"/>
    <w:uiPriority w:val="0"/>
    <w:pPr>
      <w:adjustRightInd w:val="0"/>
      <w:jc w:val="center"/>
      <w:textAlignment w:val="baseline"/>
    </w:pPr>
    <w:rPr>
      <w:kern w:val="0"/>
      <w:szCs w:val="20"/>
    </w:rPr>
  </w:style>
  <w:style w:type="paragraph" w:customStyle="1" w:styleId="20">
    <w:name w:val="表格中 Char"/>
    <w:basedOn w:val="1"/>
    <w:uiPriority w:val="0"/>
    <w:pPr>
      <w:spacing w:beforeLines="25" w:afterLines="25"/>
      <w:jc w:val="center"/>
    </w:pPr>
    <w:rPr>
      <w:rFonts w:ascii="仿宋_GB2312"/>
    </w:rPr>
  </w:style>
  <w:style w:type="paragraph" w:customStyle="1" w:styleId="21">
    <w:name w:val="图表标题"/>
    <w:basedOn w:val="1"/>
    <w:link w:val="25"/>
    <w:qFormat/>
    <w:uiPriority w:val="0"/>
    <w:pPr>
      <w:spacing w:line="300" w:lineRule="auto"/>
      <w:jc w:val="center"/>
    </w:pPr>
    <w:rPr>
      <w:rFonts w:ascii="宋体" w:hAnsi="Calibri"/>
      <w:b/>
    </w:rPr>
  </w:style>
  <w:style w:type="character" w:customStyle="1" w:styleId="22">
    <w:name w:val="标题 2 Char"/>
    <w:link w:val="3"/>
    <w:uiPriority w:val="0"/>
    <w:rPr>
      <w:rFonts w:ascii="Cambria" w:hAnsi="Cambria"/>
      <w:b/>
      <w:bCs/>
      <w:kern w:val="2"/>
      <w:sz w:val="32"/>
      <w:szCs w:val="32"/>
    </w:rPr>
  </w:style>
  <w:style w:type="character" w:customStyle="1" w:styleId="23">
    <w:name w:val="标题 1 Char"/>
    <w:link w:val="2"/>
    <w:uiPriority w:val="0"/>
    <w:rPr>
      <w:rFonts w:ascii="宋体"/>
      <w:b/>
      <w:kern w:val="44"/>
      <w:sz w:val="44"/>
    </w:rPr>
  </w:style>
  <w:style w:type="character" w:customStyle="1" w:styleId="24">
    <w:name w:val="apple-style-span"/>
    <w:basedOn w:val="12"/>
    <w:uiPriority w:val="0"/>
  </w:style>
  <w:style w:type="character" w:customStyle="1" w:styleId="25">
    <w:name w:val="图表标题 Char"/>
    <w:link w:val="21"/>
    <w:uiPriority w:val="0"/>
    <w:rPr>
      <w:rFonts w:ascii="宋体" w:hAnsi="Calibri"/>
      <w:b/>
      <w:kern w:val="2"/>
      <w:sz w:val="21"/>
      <w:szCs w:val="24"/>
    </w:rPr>
  </w:style>
  <w:style w:type="character" w:customStyle="1" w:styleId="26">
    <w:name w:val="日期 Char"/>
    <w:basedOn w:val="12"/>
    <w:link w:val="7"/>
    <w:uiPriority w:val="0"/>
    <w:rPr>
      <w:kern w:val="2"/>
      <w:sz w:val="21"/>
      <w:szCs w:val="24"/>
    </w:rPr>
  </w:style>
  <w:style w:type="character" w:customStyle="1" w:styleId="27">
    <w:name w:val="文档结构图 Char"/>
    <w:basedOn w:val="12"/>
    <w:link w:val="5"/>
    <w:uiPriority w:val="0"/>
    <w:rPr>
      <w:rFonts w:ascii="宋体"/>
      <w:kern w:val="2"/>
      <w:sz w:val="18"/>
      <w:szCs w:val="18"/>
    </w:rPr>
  </w:style>
  <w:style w:type="character" w:customStyle="1" w:styleId="28">
    <w:name w:val="纯文本 Char"/>
    <w:basedOn w:val="12"/>
    <w:link w:val="6"/>
    <w:uiPriority w:val="0"/>
    <w:rPr>
      <w:rFonts w:ascii="宋体" w:hAnsi="Courier New" w:cs="Courier New"/>
      <w:kern w:val="2"/>
      <w:sz w:val="21"/>
      <w:szCs w:val="21"/>
    </w:rPr>
  </w:style>
  <w:style w:type="character" w:customStyle="1" w:styleId="29">
    <w:name w:val="纯文本 Char1"/>
    <w:basedOn w:val="12"/>
    <w:link w:val="6"/>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8.jpeg"/><Relationship Id="rId5" Type="http://schemas.openxmlformats.org/officeDocument/2006/relationships/footer" Target="footer2.xml"/><Relationship Id="rId49" Type="http://schemas.openxmlformats.org/officeDocument/2006/relationships/image" Target="file:///C:\Documents%2520and%2520Settings\Administrator\Application%2520Data\Tencent\Users\1727193711\QQ\WinTemp\RichOle\ODE%2560C%2560Q8JKQO66ZT$4U%2560LOV.jpg" TargetMode="External"/><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emf"/><Relationship Id="rId44" Type="http://schemas.openxmlformats.org/officeDocument/2006/relationships/image" Target="media/image33.emf"/><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file:///H:\..\..\..\..\Application%2520Data\Tencent\Users\1727193711\QQ\WinTemp\RichOle\H5GD_NDF1BTR%257D~K61_BRRWU.jpg" TargetMode="External"/><Relationship Id="rId33" Type="http://schemas.openxmlformats.org/officeDocument/2006/relationships/image" Target="media/image23.jpeg"/><Relationship Id="rId32" Type="http://schemas.openxmlformats.org/officeDocument/2006/relationships/image" Target="file:///H:\..\..\..\..\Application%2520Data\Tencent\Users\1727193711\QQ\WinTemp\RichOle\BIX2C1RUG%2560)LFR~J%257BU8(_DT.jpg" TargetMode="External"/><Relationship Id="rId31" Type="http://schemas.openxmlformats.org/officeDocument/2006/relationships/image" Target="media/image22.jpeg"/><Relationship Id="rId30" Type="http://schemas.openxmlformats.org/officeDocument/2006/relationships/image" Target="file:///H:\..\..\..\..\Application%2520Data\Tencent\Users\1727193711\QQ\WinTemp\RichOle\UBQ~%255DD8)R_PL%2525V%257D9%255BM7T31I.jpg" TargetMode="Externa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file:///C:\Documents%2520and%2520Settings\Administrator\Application%2520Data\Tencent\Users\1727193711\QQ\WinTemp\RichOle\P3HN_5J%255DU)1S~2QMVSPUCNB.jpg" TargetMode="Externa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file:///C:\Documents%2520and%2520Settings\Administrator\Application%2520Data\Tencent\Users\1727193711\QQ\WinTemp\RichOle\T3IF%257DY%2525Q%2525SWSPP5EIMXZ6XP.jpg" TargetMode="Externa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file:///H:\..\..\..\..\Application%2520Data\Tencent\Users\1727193711\QQ\WinTemp\RichOle\X_XFKJI~UJFT%2525XTB%255D0E3POT.jpg" TargetMode="Externa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17400</Words>
  <Characters>19278</Characters>
  <Lines>174</Lines>
  <Paragraphs>48</Paragraphs>
  <TotalTime>28</TotalTime>
  <ScaleCrop>false</ScaleCrop>
  <LinksUpToDate>false</LinksUpToDate>
  <CharactersWithSpaces>19607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2016-03-17T04:50:47Z</dcterms:created>
  <dc:creator>微软用户</dc:creator>
  <cp:lastModifiedBy>宏亚高空</cp:lastModifiedBy>
  <cp:lastPrinted>2016-03-18T02:56:00Z</cp:lastPrinted>
  <dcterms:modified xsi:type="dcterms:W3CDTF">2025-08-15T18:32:18Z</dcterms:modified>
  <dc:title>第一卷 投标须知</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